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FC0" w:rsidP="00635FC0" w:rsidRDefault="00635FC0" w14:paraId="3D8617EC" w14:textId="55C982F3">
      <w:pPr>
        <w:jc w:val="center"/>
        <w:rPr>
          <w:b w:val="1"/>
          <w:bCs w:val="1"/>
          <w:sz w:val="28"/>
          <w:szCs w:val="28"/>
        </w:rPr>
      </w:pPr>
      <w:r w:rsidRPr="18007D8D" w:rsidR="00635FC0">
        <w:rPr>
          <w:b w:val="1"/>
          <w:bCs w:val="1"/>
          <w:sz w:val="28"/>
          <w:szCs w:val="28"/>
        </w:rPr>
        <w:t>ARC Practitioner Group Update</w:t>
      </w:r>
      <w:r w:rsidRPr="18007D8D" w:rsidR="5DE24F1D">
        <w:rPr>
          <w:b w:val="1"/>
          <w:bCs w:val="1"/>
          <w:sz w:val="28"/>
          <w:szCs w:val="28"/>
        </w:rPr>
        <w:t>s</w:t>
      </w:r>
      <w:r w:rsidRPr="18007D8D" w:rsidR="00635FC0">
        <w:rPr>
          <w:b w:val="1"/>
          <w:bCs w:val="1"/>
          <w:sz w:val="28"/>
          <w:szCs w:val="28"/>
        </w:rPr>
        <w:t xml:space="preserve"> </w:t>
      </w:r>
      <w:r>
        <w:br/>
      </w:r>
      <w:r w:rsidRPr="18007D8D" w:rsidR="00635FC0">
        <w:rPr>
          <w:sz w:val="28"/>
          <w:szCs w:val="28"/>
        </w:rPr>
        <w:t>April 2023</w:t>
      </w:r>
      <w:r w:rsidRPr="18007D8D" w:rsidR="00635FC0">
        <w:rPr>
          <w:b w:val="1"/>
          <w:bCs w:val="1"/>
          <w:sz w:val="28"/>
          <w:szCs w:val="28"/>
        </w:rPr>
        <w:t xml:space="preserve"> </w:t>
      </w:r>
    </w:p>
    <w:tbl>
      <w:tblPr>
        <w:tblStyle w:val="TableGrid"/>
        <w:tblpPr w:leftFromText="180" w:rightFromText="180" w:vertAnchor="text" w:horzAnchor="margin" w:tblpY="255"/>
        <w:tblW w:w="9016" w:type="dxa"/>
        <w:tblLook w:val="04A0" w:firstRow="1" w:lastRow="0" w:firstColumn="1" w:lastColumn="0" w:noHBand="0" w:noVBand="1"/>
      </w:tblPr>
      <w:tblGrid>
        <w:gridCol w:w="2505"/>
        <w:gridCol w:w="6511"/>
      </w:tblGrid>
      <w:tr w:rsidR="00635FC0" w:rsidTr="18007D8D" w14:paraId="38D7E467" w14:textId="77777777">
        <w:tc>
          <w:tcPr>
            <w:tcW w:w="2505" w:type="dxa"/>
            <w:shd w:val="clear" w:color="auto" w:fill="E72419"/>
            <w:tcMar/>
          </w:tcPr>
          <w:p w:rsidRPr="00D55BDA" w:rsidR="00635FC0" w:rsidP="00635FC0" w:rsidRDefault="00635FC0" w14:paraId="045EB265" w14:textId="1778A264" w14:noSpellErr="1">
            <w:pPr>
              <w:jc w:val="center"/>
              <w:rPr>
                <w:sz w:val="28"/>
                <w:szCs w:val="28"/>
              </w:rPr>
            </w:pPr>
            <w:r>
              <w:br/>
            </w:r>
            <w:r w:rsidRPr="18007D8D" w:rsidR="00D55BDA">
              <w:rPr>
                <w:b w:val="1"/>
                <w:bCs w:val="1"/>
                <w:color w:val="FFFFFF" w:themeColor="background1" w:themeTint="FF" w:themeShade="FF"/>
                <w:sz w:val="28"/>
                <w:szCs w:val="28"/>
              </w:rPr>
              <w:t xml:space="preserve">Admissions </w:t>
            </w:r>
            <w:r>
              <w:br/>
            </w:r>
            <w:r w:rsidRPr="18007D8D" w:rsidR="00D55BDA">
              <w:rPr>
                <w:i w:val="0"/>
                <w:iCs w:val="0"/>
                <w:color w:val="FFFFFF" w:themeColor="background1" w:themeTint="FF" w:themeShade="FF"/>
                <w:sz w:val="28"/>
                <w:szCs w:val="28"/>
              </w:rPr>
              <w:t>Julie Kelly</w:t>
            </w:r>
            <w:r w:rsidRPr="18007D8D" w:rsidR="00D55BDA">
              <w:rPr>
                <w:i w:val="0"/>
                <w:iCs w:val="0"/>
                <w:color w:val="FFFFFF" w:themeColor="background1" w:themeTint="FF" w:themeShade="FF"/>
                <w:sz w:val="28"/>
                <w:szCs w:val="28"/>
              </w:rPr>
              <w:t xml:space="preserve"> </w:t>
            </w:r>
            <w:r>
              <w:br/>
            </w:r>
          </w:p>
        </w:tc>
        <w:tc>
          <w:tcPr>
            <w:tcW w:w="6511" w:type="dxa"/>
            <w:tcMar/>
          </w:tcPr>
          <w:p w:rsidR="00635FC0" w:rsidP="00D55BDA" w:rsidRDefault="00D55BDA" w14:paraId="3FEE6CFC" w14:textId="0A31E664">
            <w:pPr>
              <w:rPr>
                <w:b/>
                <w:bCs/>
                <w:sz w:val="28"/>
                <w:szCs w:val="28"/>
              </w:rPr>
            </w:pPr>
            <w:r>
              <w:rPr>
                <w:rFonts w:ascii="Calibri" w:hAnsi="Calibri" w:cs="Calibri"/>
                <w:color w:val="242424"/>
                <w:shd w:val="clear" w:color="auto" w:fill="FFFFFF"/>
              </w:rPr>
              <w:t>The Admissions group met virtually early March and discussed the fact that applications to UCAS were 3% down, despite the demographic upswing, and that this decline was not being felt uniformly across the sector.  It was felt that this was a post-covid “recalibration” and that applications would continue to rise, in fact UCAS were about to start publishing a series of papers on the “journey to a million” applicants, which is now starting to be released, </w:t>
            </w:r>
            <w:hyperlink w:tgtFrame="_blank" w:history="1" r:id="rId6">
              <w:r>
                <w:rPr>
                  <w:rStyle w:val="Hyperlink"/>
                  <w:rFonts w:ascii="Calibri" w:hAnsi="Calibri" w:cs="Calibri"/>
                  <w:bdr w:val="none" w:color="auto" w:sz="0" w:space="0" w:frame="1"/>
                  <w:shd w:val="clear" w:color="auto" w:fill="FFFFFF"/>
                </w:rPr>
                <w:t>https://wonkhe.com/blogs/the-journey-to-a-million-applicants-to-he-starts-today/</w:t>
              </w:r>
            </w:hyperlink>
            <w:r>
              <w:rPr>
                <w:rFonts w:ascii="Calibri" w:hAnsi="Calibri" w:cs="Calibri"/>
                <w:color w:val="242424"/>
                <w:shd w:val="clear" w:color="auto" w:fill="FFFFFF"/>
              </w:rPr>
              <w:t xml:space="preserve">.  </w:t>
            </w:r>
            <w:r>
              <w:rPr>
                <w:rFonts w:ascii="Calibri" w:hAnsi="Calibri" w:cs="Calibri"/>
                <w:color w:val="242424"/>
                <w:shd w:val="clear" w:color="auto" w:fill="FFFFFF"/>
              </w:rPr>
              <w:br/>
            </w:r>
            <w:r>
              <w:rPr>
                <w:rFonts w:ascii="Calibri" w:hAnsi="Calibri" w:cs="Calibri"/>
                <w:color w:val="242424"/>
                <w:shd w:val="clear" w:color="auto" w:fill="FFFFFF"/>
              </w:rPr>
              <w:br/>
            </w:r>
            <w:r>
              <w:rPr>
                <w:rFonts w:ascii="Calibri" w:hAnsi="Calibri" w:cs="Calibri"/>
                <w:color w:val="242424"/>
                <w:shd w:val="clear" w:color="auto" w:fill="FFFFFF"/>
              </w:rPr>
              <w:t>UCAS Council also held it’s meeting in March and gathered feedback on the potential changes to the personal statement, which would be a series of short questions rather than the current free format statement.  In other news, I attended the 2</w:t>
            </w:r>
            <w:r>
              <w:rPr>
                <w:rFonts w:ascii="Calibri" w:hAnsi="Calibri" w:cs="Calibri"/>
                <w:color w:val="242424"/>
                <w:shd w:val="clear" w:color="auto" w:fill="FFFFFF"/>
                <w:vertAlign w:val="superscript"/>
              </w:rPr>
              <w:t>nd</w:t>
            </w:r>
            <w:r>
              <w:rPr>
                <w:rFonts w:ascii="Calibri" w:hAnsi="Calibri" w:cs="Calibri"/>
                <w:color w:val="242424"/>
                <w:shd w:val="clear" w:color="auto" w:fill="FFFFFF"/>
              </w:rPr>
              <w:t xml:space="preserve"> UCAS Roundtable discussion on International Student recruitment and the sector now awaits proposals from UCAS on how they intend to support the sector.  Finally worth noting that despite the very poor negative press around the Reject </w:t>
            </w:r>
            <w:proofErr w:type="gramStart"/>
            <w:r>
              <w:rPr>
                <w:rFonts w:ascii="Calibri" w:hAnsi="Calibri" w:cs="Calibri"/>
                <w:color w:val="242424"/>
                <w:shd w:val="clear" w:color="auto" w:fill="FFFFFF"/>
              </w:rPr>
              <w:t>By</w:t>
            </w:r>
            <w:proofErr w:type="gramEnd"/>
            <w:r>
              <w:rPr>
                <w:rFonts w:ascii="Calibri" w:hAnsi="Calibri" w:cs="Calibri"/>
                <w:color w:val="242424"/>
                <w:shd w:val="clear" w:color="auto" w:fill="FFFFFF"/>
              </w:rPr>
              <w:t xml:space="preserve"> Default “RBD” date falling during exam season last year UCAS have been unable to make any change for the next cycle (citing difficulty in getting consensus) and suspect this has now been moved into the too difficult pile/kicked into the long grass.</w:t>
            </w:r>
          </w:p>
        </w:tc>
      </w:tr>
      <w:tr w:rsidR="00635FC0" w:rsidTr="18007D8D" w14:paraId="49A4E057" w14:textId="77777777">
        <w:tc>
          <w:tcPr>
            <w:tcW w:w="2505" w:type="dxa"/>
            <w:shd w:val="clear" w:color="auto" w:fill="E72419"/>
            <w:tcMar/>
          </w:tcPr>
          <w:p w:rsidR="00635FC0" w:rsidP="7C8FE927" w:rsidRDefault="00635FC0" w14:paraId="19DAD81B" w14:textId="2C843983">
            <w:pPr>
              <w:pStyle w:val="Normal"/>
              <w:jc w:val="center"/>
              <w:rPr>
                <w:b w:val="1"/>
                <w:bCs w:val="1"/>
                <w:sz w:val="28"/>
                <w:szCs w:val="28"/>
              </w:rPr>
            </w:pPr>
            <w:r>
              <w:br/>
            </w:r>
            <w:r w:rsidRPr="18007D8D" w:rsidR="5244CF50">
              <w:rPr>
                <w:b w:val="1"/>
                <w:bCs w:val="1"/>
                <w:noProof w:val="0"/>
                <w:color w:val="FFFFFF" w:themeColor="background1" w:themeTint="FF" w:themeShade="FF"/>
                <w:sz w:val="28"/>
                <w:szCs w:val="28"/>
                <w:lang w:val="en-GB"/>
              </w:rPr>
              <w:t xml:space="preserve">Scotland &amp; Northern Ireland </w:t>
            </w:r>
            <w:r w:rsidRPr="18007D8D" w:rsidR="5244CF50">
              <w:rPr>
                <w:rFonts w:ascii="Calibri" w:hAnsi="Calibri" w:eastAsia="Calibri" w:cs="Calibri"/>
                <w:b w:val="1"/>
                <w:bCs w:val="1"/>
                <w:noProof w:val="0"/>
                <w:sz w:val="28"/>
                <w:szCs w:val="28"/>
                <w:lang w:val="en-GB"/>
              </w:rPr>
              <w:t xml:space="preserve"> </w:t>
            </w:r>
          </w:p>
          <w:p w:rsidR="00635FC0" w:rsidP="18007D8D" w:rsidRDefault="00635FC0" w14:paraId="4D6209A0" w14:textId="46ED9520">
            <w:pPr>
              <w:pStyle w:val="Normal"/>
              <w:jc w:val="center"/>
              <w:rPr>
                <w:i w:val="0"/>
                <w:iCs w:val="0"/>
                <w:noProof w:val="0"/>
                <w:color w:val="FFFFFF" w:themeColor="background1" w:themeTint="FF" w:themeShade="FF"/>
                <w:sz w:val="28"/>
                <w:szCs w:val="28"/>
                <w:lang w:val="en-GB"/>
              </w:rPr>
            </w:pPr>
            <w:r w:rsidRPr="18007D8D" w:rsidR="37F21424">
              <w:rPr>
                <w:i w:val="0"/>
                <w:iCs w:val="0"/>
                <w:noProof w:val="0"/>
                <w:color w:val="FFFFFF" w:themeColor="background1" w:themeTint="FF" w:themeShade="FF"/>
                <w:sz w:val="28"/>
                <w:szCs w:val="28"/>
                <w:lang w:val="en-GB"/>
              </w:rPr>
              <w:t xml:space="preserve">Steven </w:t>
            </w:r>
            <w:r w:rsidRPr="18007D8D" w:rsidR="37F21424">
              <w:rPr>
                <w:i w:val="0"/>
                <w:iCs w:val="0"/>
                <w:noProof w:val="0"/>
                <w:color w:val="FFFFFF" w:themeColor="background1" w:themeTint="FF" w:themeShade="FF"/>
                <w:sz w:val="28"/>
                <w:szCs w:val="28"/>
                <w:lang w:val="en-GB"/>
              </w:rPr>
              <w:t>Logie</w:t>
            </w:r>
          </w:p>
        </w:tc>
        <w:tc>
          <w:tcPr>
            <w:tcW w:w="6511" w:type="dxa"/>
            <w:tcMar/>
          </w:tcPr>
          <w:p w:rsidR="00635FC0" w:rsidP="7C8FE927" w:rsidRDefault="00635FC0" w14:paraId="35026820" w14:textId="1157A7BE">
            <w:p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The ARC Scotland &amp; Northern Ireland Practitioners Group met at Glasgow Caledonian University on 17 </w:t>
            </w:r>
            <w:proofErr w:type="gramStart"/>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February..</w:t>
            </w:r>
            <w:proofErr w:type="gramEnd"/>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  A number of institutions had been reconnected with the network and new members were welcomed.  Sector updates were received from the QAA and Universities Scotland and the convenor provided an update re the ARC Executive. </w:t>
            </w:r>
          </w:p>
          <w:p w:rsidR="00635FC0" w:rsidP="7C8FE927" w:rsidRDefault="00635FC0" w14:paraId="6ADDD581" w14:textId="0079B7AB">
            <w:p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 </w:t>
            </w:r>
          </w:p>
          <w:p w:rsidR="00635FC0" w:rsidP="7C8FE927" w:rsidRDefault="00635FC0" w14:paraId="32D4BC0C" w14:textId="2A3A32B0">
            <w:p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The network discussed standing items including:</w:t>
            </w:r>
          </w:p>
          <w:p w:rsidR="00635FC0" w:rsidP="7C8FE927" w:rsidRDefault="00635FC0" w14:paraId="700A99A3" w14:textId="54A626F4">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Data Futures preparedness, noting the varying levels of progress and highlighting concerns about supplier readiness.</w:t>
            </w:r>
          </w:p>
          <w:p w:rsidR="00635FC0" w:rsidP="7C8FE927" w:rsidRDefault="00635FC0" w14:paraId="4597FB79" w14:textId="1C547F6C">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Examinations &amp; Assessment, including the balance of on-line and on-campus meetings.</w:t>
            </w:r>
          </w:p>
          <w:p w:rsidR="00635FC0" w:rsidP="7C8FE927" w:rsidRDefault="00635FC0" w14:paraId="53A3125E" w14:textId="37FAB99F">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Quality Assurance, including the means by which module handbooks are shared.</w:t>
            </w:r>
          </w:p>
          <w:p w:rsidR="00635FC0" w:rsidP="7C8FE927" w:rsidRDefault="00635FC0" w14:paraId="04461343" w14:textId="78190C9B">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Graduation, with members reflecting on varies elements of practice.</w:t>
            </w:r>
          </w:p>
          <w:p w:rsidR="00635FC0" w:rsidP="7C8FE927" w:rsidRDefault="00635FC0" w14:paraId="0E31EC87" w14:textId="2589414F">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Timetabling, including levels of engagement and steps being taken to address this. </w:t>
            </w:r>
          </w:p>
          <w:p w:rsidR="00635FC0" w:rsidP="7C8FE927" w:rsidRDefault="00635FC0" w14:paraId="7A7D5CD3" w14:textId="6670C56B">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Student casework, when members discussed their experiences of dealing with extensions and Extenuating Circumstances.</w:t>
            </w:r>
          </w:p>
          <w:p w:rsidR="00635FC0" w:rsidP="7C8FE927" w:rsidRDefault="00635FC0" w14:paraId="513D551C" w14:textId="4F34445E">
            <w:p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 </w:t>
            </w:r>
          </w:p>
          <w:p w:rsidR="00635FC0" w:rsidP="7C8FE927" w:rsidRDefault="00635FC0" w14:paraId="00B37833" w14:textId="4C83BE8F">
            <w:p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For Hot Topics, members discussed:</w:t>
            </w:r>
          </w:p>
          <w:p w:rsidR="00635FC0" w:rsidP="7C8FE927" w:rsidRDefault="00635FC0" w14:paraId="26224CB2" w14:textId="4DE6F213">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Responses to student poverty challenges, including reflecting in practice working well and less well.</w:t>
            </w:r>
          </w:p>
          <w:p w:rsidR="00635FC0" w:rsidP="7C8FE927" w:rsidRDefault="00635FC0" w14:paraId="3CDD79DA" w14:textId="64B6C52C">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Student retention and the responses to emerging trends.</w:t>
            </w:r>
          </w:p>
          <w:p w:rsidR="00635FC0" w:rsidP="7C8FE927" w:rsidRDefault="00635FC0" w14:paraId="72BF61C6" w14:textId="46EB7875">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Procedures for dealing with disruption to Assessment Boards (</w:t>
            </w:r>
            <w:proofErr w:type="gramStart"/>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e.g.</w:t>
            </w:r>
            <w:proofErr w:type="gramEnd"/>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 through industrial action)</w:t>
            </w:r>
          </w:p>
          <w:p w:rsidR="00635FC0" w:rsidP="7C8FE927" w:rsidRDefault="00635FC0" w14:paraId="0AA1E8B4" w14:textId="6AD80118">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Gender recognition and student records, in light of recent legislation approved by the Scottish Parliament (however blocked by the UK government).  It was agreed to set up a workshop / Special Interest Group to discuss records aspects of gender recognition.</w:t>
            </w:r>
          </w:p>
          <w:p w:rsidR="00635FC0" w:rsidP="7C8FE927" w:rsidRDefault="00635FC0" w14:paraId="17DA41DA" w14:textId="7984D2FA">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A paper from Student Awards Agency Scotland on a proposal for transferring student information/</w:t>
            </w:r>
          </w:p>
          <w:p w:rsidR="00635FC0" w:rsidP="7C8FE927" w:rsidRDefault="00635FC0" w14:paraId="5F481AC2" w14:textId="0A41D3B0">
            <w:p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 </w:t>
            </w:r>
          </w:p>
          <w:p w:rsidR="00635FC0" w:rsidP="7C8FE927" w:rsidRDefault="00635FC0" w14:paraId="45182088" w14:textId="6E71B72B">
            <w:pPr>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7C8FE927" w:rsidR="5244CF50">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The group agreed to increase the frequency of network meetings to four per year, with two online and two in-person.</w:t>
            </w:r>
          </w:p>
        </w:tc>
      </w:tr>
      <w:tr w:rsidR="00635FC0" w:rsidTr="18007D8D" w14:paraId="1AE1099F" w14:textId="77777777">
        <w:tc>
          <w:tcPr>
            <w:tcW w:w="2505" w:type="dxa"/>
            <w:shd w:val="clear" w:color="auto" w:fill="E72419"/>
            <w:tcMar/>
          </w:tcPr>
          <w:p w:rsidR="00635FC0" w:rsidP="54A2A29C" w:rsidRDefault="00635FC0" w14:paraId="64827055" w14:textId="2D3B27A7">
            <w:pPr>
              <w:jc w:val="center"/>
              <w:rPr>
                <w:b w:val="0"/>
                <w:bCs w:val="0"/>
                <w:color w:val="FFFFFF" w:themeColor="background1" w:themeTint="FF" w:themeShade="FF"/>
                <w:sz w:val="28"/>
                <w:szCs w:val="28"/>
              </w:rPr>
            </w:pPr>
            <w:r>
              <w:br/>
            </w:r>
            <w:r w:rsidRPr="18007D8D" w:rsidR="4B5920BA">
              <w:rPr>
                <w:b w:val="1"/>
                <w:bCs w:val="1"/>
                <w:color w:val="FFFFFF" w:themeColor="background1" w:themeTint="FF" w:themeShade="FF"/>
                <w:sz w:val="28"/>
                <w:szCs w:val="28"/>
              </w:rPr>
              <w:t xml:space="preserve">UKVI </w:t>
            </w:r>
            <w:r>
              <w:br/>
            </w:r>
            <w:r w:rsidRPr="18007D8D" w:rsidR="0A013C41">
              <w:rPr>
                <w:b w:val="0"/>
                <w:bCs w:val="0"/>
                <w:i w:val="0"/>
                <w:iCs w:val="0"/>
                <w:color w:val="FFFFFF" w:themeColor="background1" w:themeTint="FF" w:themeShade="FF"/>
                <w:sz w:val="28"/>
                <w:szCs w:val="28"/>
              </w:rPr>
              <w:t>Jo Wright</w:t>
            </w:r>
          </w:p>
          <w:p w:rsidR="00635FC0" w:rsidP="54A2A29C" w:rsidRDefault="00635FC0" w14:paraId="553F48C3" w14:textId="375C9948">
            <w:pPr>
              <w:pStyle w:val="Normal"/>
              <w:jc w:val="center"/>
              <w:rPr>
                <w:b w:val="1"/>
                <w:bCs w:val="1"/>
                <w:sz w:val="28"/>
                <w:szCs w:val="28"/>
              </w:rPr>
            </w:pPr>
          </w:p>
        </w:tc>
        <w:tc>
          <w:tcPr>
            <w:tcW w:w="6511" w:type="dxa"/>
            <w:tcMar/>
          </w:tcPr>
          <w:p w:rsidR="00635FC0" w:rsidP="18007D8D" w:rsidRDefault="00635FC0" w14:paraId="05EBA56D" w14:textId="6D5B9378">
            <w:pPr>
              <w:jc w:val="left"/>
              <w:rPr>
                <w:b w:val="1"/>
                <w:bCs w:val="1"/>
                <w:sz w:val="28"/>
                <w:szCs w:val="28"/>
              </w:rPr>
            </w:pPr>
            <w:r w:rsidR="7567E909">
              <w:rPr/>
              <w:t xml:space="preserve">The UKVI Practitioner Group met on 31st March in Woburn House, London. We had high attendance, as usual, with 100+ institutions represented. We had three speakers from the Home Office in the morning session, covering a Policy Update, an Operational </w:t>
            </w:r>
            <w:r w:rsidR="7567E909">
              <w:rPr/>
              <w:t>U</w:t>
            </w:r>
            <w:r w:rsidR="7567E909">
              <w:rPr/>
              <w:t>pdate</w:t>
            </w:r>
            <w:r w:rsidR="7567E909">
              <w:rPr/>
              <w:t xml:space="preserve"> </w:t>
            </w:r>
            <w:r w:rsidR="7567E909">
              <w:rPr/>
              <w:t xml:space="preserve">and a briefing on the new Electronic Travel Authorisation (ETA) system. </w:t>
            </w:r>
          </w:p>
          <w:p w:rsidR="00635FC0" w:rsidP="18007D8D" w:rsidRDefault="00635FC0" w14:paraId="6DF21CF1" w14:textId="40D31D2D">
            <w:pPr>
              <w:jc w:val="left"/>
            </w:pPr>
          </w:p>
          <w:p w:rsidR="00635FC0" w:rsidP="18007D8D" w:rsidRDefault="00635FC0" w14:paraId="4E0C1467" w14:textId="211EF0DC">
            <w:pPr>
              <w:jc w:val="left"/>
              <w:rPr>
                <w:b w:val="1"/>
                <w:bCs w:val="1"/>
                <w:sz w:val="28"/>
                <w:szCs w:val="28"/>
              </w:rPr>
            </w:pPr>
            <w:r w:rsidR="7567E909">
              <w:rPr/>
              <w:t xml:space="preserve">On Operations: there was a continued focus on the high numbers of dependants travelling to the UK with students; visa applications were being processed within SLA times for all routes; UKVI are expecting a summer surge of c.450k applications. Following consultation and review, a new PCST offering is being formed, </w:t>
            </w:r>
            <w:r w:rsidR="7567E909">
              <w:rPr/>
              <w:t>c</w:t>
            </w:r>
            <w:r w:rsidR="7567E909">
              <w:rPr/>
              <w:t>omprising</w:t>
            </w:r>
            <w:r w:rsidR="7567E909">
              <w:rPr/>
              <w:t xml:space="preserve"> </w:t>
            </w:r>
            <w:r w:rsidR="7567E909">
              <w:rPr/>
              <w:t xml:space="preserve">a customer service team, an engagement team and an enhanced sponsorship offering. Graduate route has 89,289 completed decisions with a 1% refusal rate. </w:t>
            </w:r>
          </w:p>
          <w:p w:rsidR="00635FC0" w:rsidP="18007D8D" w:rsidRDefault="00635FC0" w14:paraId="1A8B9857" w14:textId="33130BBD">
            <w:pPr>
              <w:jc w:val="left"/>
            </w:pPr>
          </w:p>
          <w:p w:rsidR="00635FC0" w:rsidP="18007D8D" w:rsidRDefault="00635FC0" w14:paraId="21EA7094" w14:textId="2545932F">
            <w:pPr>
              <w:jc w:val="left"/>
            </w:pPr>
            <w:r w:rsidR="7567E909">
              <w:rPr/>
              <w:t xml:space="preserve">On Policy: presentation focused on IT transformation and remote delivery policy. On remote delivery, three approaches were being considered: </w:t>
            </w:r>
            <w:r>
              <w:br/>
            </w:r>
          </w:p>
          <w:p w:rsidR="00635FC0" w:rsidP="18007D8D" w:rsidRDefault="00635FC0" w14:paraId="140BA2B1" w14:textId="6FBAFFE1">
            <w:pPr>
              <w:jc w:val="left"/>
              <w:rPr>
                <w:b w:val="1"/>
                <w:bCs w:val="1"/>
                <w:sz w:val="28"/>
                <w:szCs w:val="28"/>
              </w:rPr>
            </w:pPr>
            <w:r w:rsidR="7567E909">
              <w:rPr/>
              <w:t>(</w:t>
            </w:r>
            <w:r w:rsidR="7567E909">
              <w:rPr/>
              <w:t>i</w:t>
            </w:r>
            <w:r w:rsidR="7567E909">
              <w:rPr/>
              <w:t>)</w:t>
            </w:r>
            <w:r w:rsidR="7567E909">
              <w:rPr/>
              <w:t xml:space="preserve"> allowing remote delivery without set time limits </w:t>
            </w:r>
            <w:r w:rsidR="7567E909">
              <w:rPr/>
              <w:t>p</w:t>
            </w:r>
            <w:r w:rsidR="7567E909">
              <w:rPr/>
              <w:t>rovided</w:t>
            </w:r>
            <w:r w:rsidR="7567E909">
              <w:rPr/>
              <w:t xml:space="preserve"> </w:t>
            </w:r>
            <w:r w:rsidR="7567E909">
              <w:rPr/>
              <w:t xml:space="preserve">face to face delivery is “main method” of timetabled learning; </w:t>
            </w:r>
          </w:p>
          <w:p w:rsidR="00635FC0" w:rsidP="18007D8D" w:rsidRDefault="00635FC0" w14:paraId="1769CF87" w14:textId="285B38FF">
            <w:pPr>
              <w:jc w:val="left"/>
              <w:rPr>
                <w:b w:val="1"/>
                <w:bCs w:val="1"/>
                <w:sz w:val="28"/>
                <w:szCs w:val="28"/>
              </w:rPr>
            </w:pPr>
            <w:r w:rsidR="7567E909">
              <w:rPr/>
              <w:t xml:space="preserve">(ii) allowing a specific percentage (example given was 15%) of timetabled learning via remote delivery; </w:t>
            </w:r>
          </w:p>
          <w:p w:rsidR="00635FC0" w:rsidP="18007D8D" w:rsidRDefault="00635FC0" w14:paraId="09D7D1E1" w14:textId="1899C4E4">
            <w:pPr>
              <w:jc w:val="left"/>
              <w:rPr>
                <w:b w:val="1"/>
                <w:bCs w:val="1"/>
                <w:sz w:val="28"/>
                <w:szCs w:val="28"/>
              </w:rPr>
            </w:pPr>
            <w:r w:rsidR="7567E909">
              <w:rPr/>
              <w:t xml:space="preserve">(iii) allow remote delivery only in exceptional circumstances via amendments to existing change of student circumstance policy. </w:t>
            </w:r>
          </w:p>
          <w:p w:rsidR="00635FC0" w:rsidP="18007D8D" w:rsidRDefault="00635FC0" w14:paraId="071B5B07" w14:textId="084E380A">
            <w:pPr>
              <w:jc w:val="left"/>
              <w:rPr>
                <w:b w:val="1"/>
                <w:bCs w:val="1"/>
                <w:sz w:val="28"/>
                <w:szCs w:val="28"/>
              </w:rPr>
            </w:pPr>
            <w:r>
              <w:br/>
            </w:r>
            <w:r w:rsidR="7567E909">
              <w:rPr/>
              <w:t xml:space="preserve">Members were overwhelmingly in support of the first </w:t>
            </w:r>
            <w:r w:rsidR="7567E909">
              <w:rPr/>
              <w:t>option</w:t>
            </w:r>
            <w:r w:rsidR="7567E909">
              <w:rPr/>
              <w:t>.</w:t>
            </w:r>
            <w:r>
              <w:br/>
            </w:r>
            <w:r>
              <w:br/>
            </w:r>
            <w:r w:rsidR="7567E909">
              <w:rPr/>
              <w:t xml:space="preserve">The ETA presentation was </w:t>
            </w:r>
            <w:r w:rsidR="7567E909">
              <w:rPr/>
              <w:t>v</w:t>
            </w:r>
            <w:r w:rsidR="7567E909">
              <w:rPr/>
              <w:t>ery interesting</w:t>
            </w:r>
            <w:r w:rsidR="7567E909">
              <w:rPr/>
              <w:t>.</w:t>
            </w:r>
            <w:r w:rsidR="7567E909">
              <w:rPr/>
              <w:t xml:space="preserve"> The new app was being rolled out to all eligible nationalities by end of 2024, </w:t>
            </w:r>
            <w:r w:rsidR="7567E909">
              <w:rPr/>
              <w:t>p</w:t>
            </w:r>
            <w:r w:rsidR="7567E909">
              <w:rPr/>
              <w:t>roviding</w:t>
            </w:r>
            <w:r w:rsidR="7567E909">
              <w:rPr/>
              <w:t xml:space="preserve"> </w:t>
            </w:r>
            <w:r w:rsidR="7567E909">
              <w:rPr/>
              <w:t xml:space="preserve">digital advance permission to travel to the UK for those who do not currently need to obtain a visa. Call to action for members was to raise awareness with students travelling from affected countries. In the (closed) afternoon session, we had an update from UUK. This included results from a UUK/Public First polling of public attitudes towards international students and immigration, including: </w:t>
            </w:r>
          </w:p>
          <w:p w:rsidR="00635FC0" w:rsidP="18007D8D" w:rsidRDefault="00635FC0" w14:paraId="4096C2D7" w14:textId="20027063">
            <w:pPr>
              <w:pStyle w:val="ListParagraph"/>
              <w:numPr>
                <w:ilvl w:val="0"/>
                <w:numId w:val="7"/>
              </w:numPr>
              <w:jc w:val="left"/>
              <w:rPr>
                <w:b w:val="1"/>
                <w:bCs w:val="1"/>
                <w:sz w:val="28"/>
                <w:szCs w:val="28"/>
              </w:rPr>
            </w:pPr>
            <w:r w:rsidR="7567E909">
              <w:rPr/>
              <w:t>64% of UK adults believed the UK should host the same or more international students – only 9% felt international students should be discouraged</w:t>
            </w:r>
          </w:p>
          <w:p w:rsidR="00635FC0" w:rsidP="18007D8D" w:rsidRDefault="00635FC0" w14:paraId="37E34776" w14:textId="7CA8BB7D">
            <w:pPr>
              <w:pStyle w:val="ListParagraph"/>
              <w:numPr>
                <w:ilvl w:val="0"/>
                <w:numId w:val="7"/>
              </w:numPr>
              <w:jc w:val="left"/>
              <w:rPr>
                <w:b w:val="1"/>
                <w:bCs w:val="1"/>
                <w:sz w:val="28"/>
                <w:szCs w:val="28"/>
              </w:rPr>
            </w:pPr>
            <w:r w:rsidR="7567E909">
              <w:rPr/>
              <w:t xml:space="preserve">62% recognised that international students gave more to the economy than they took out, and </w:t>
            </w:r>
          </w:p>
          <w:p w:rsidR="00635FC0" w:rsidP="18007D8D" w:rsidRDefault="00635FC0" w14:paraId="24461E77" w14:textId="7E172EDE">
            <w:pPr>
              <w:pStyle w:val="ListParagraph"/>
              <w:numPr>
                <w:ilvl w:val="0"/>
                <w:numId w:val="7"/>
              </w:numPr>
              <w:jc w:val="left"/>
              <w:rPr>
                <w:b w:val="1"/>
                <w:bCs w:val="1"/>
                <w:sz w:val="28"/>
                <w:szCs w:val="28"/>
              </w:rPr>
            </w:pPr>
            <w:r w:rsidR="7567E909">
              <w:rPr/>
              <w:t>67% felt that students should come to the UK irrespective of the university they are applying to (</w:t>
            </w:r>
            <w:r w:rsidR="7567E909">
              <w:rPr/>
              <w:t>i.e.</w:t>
            </w:r>
            <w:r w:rsidR="7567E909">
              <w:rPr/>
              <w:t xml:space="preserve"> university type or position in rankings </w:t>
            </w:r>
            <w:r w:rsidR="7567E909">
              <w:rPr/>
              <w:t>didn’t</w:t>
            </w:r>
            <w:r w:rsidR="7567E909">
              <w:rPr/>
              <w:t xml:space="preserve"> matter – only 18% felt preferential treatment should be given to those applying to ‘elite’ universities). </w:t>
            </w:r>
          </w:p>
          <w:p w:rsidR="00635FC0" w:rsidP="18007D8D" w:rsidRDefault="00635FC0" w14:paraId="77D754E7" w14:textId="353D91BA">
            <w:pPr>
              <w:pStyle w:val="Normal"/>
              <w:ind w:left="0"/>
              <w:jc w:val="left"/>
              <w:rPr>
                <w:b w:val="1"/>
                <w:bCs w:val="1"/>
                <w:sz w:val="28"/>
                <w:szCs w:val="28"/>
              </w:rPr>
            </w:pPr>
            <w:r w:rsidR="7567E909">
              <w:rPr/>
              <w:t xml:space="preserve">Data on UK universities’ </w:t>
            </w:r>
            <w:r w:rsidR="7567E909">
              <w:rPr/>
              <w:t>f</w:t>
            </w:r>
            <w:r w:rsidR="7567E909">
              <w:rPr/>
              <w:t>uture plans</w:t>
            </w:r>
            <w:r w:rsidR="7567E909">
              <w:rPr/>
              <w:t xml:space="preserve"> </w:t>
            </w:r>
            <w:r w:rsidR="7567E909">
              <w:rPr/>
              <w:t>for international student recruitment were also shared.</w:t>
            </w:r>
            <w:r w:rsidRPr="18007D8D" w:rsidR="75154108">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 </w:t>
            </w:r>
          </w:p>
        </w:tc>
      </w:tr>
      <w:tr w:rsidR="00635FC0" w:rsidTr="18007D8D" w14:paraId="1C4DABE7" w14:textId="77777777">
        <w:tc>
          <w:tcPr>
            <w:tcW w:w="2505" w:type="dxa"/>
            <w:shd w:val="clear" w:color="auto" w:fill="E72419"/>
            <w:tcMar/>
          </w:tcPr>
          <w:p w:rsidR="00635FC0" w:rsidP="00635FC0" w:rsidRDefault="00635FC0" w14:paraId="4833BC59" w14:textId="77777777">
            <w:pPr>
              <w:jc w:val="center"/>
              <w:rPr>
                <w:b/>
                <w:bCs/>
                <w:sz w:val="28"/>
                <w:szCs w:val="28"/>
              </w:rPr>
            </w:pPr>
          </w:p>
          <w:p w:rsidR="18EEFD15" w:rsidP="18007D8D" w:rsidRDefault="18EEFD15" w14:paraId="709D65CD" w14:textId="45614E1B">
            <w:pPr>
              <w:pStyle w:val="Normal"/>
              <w:jc w:val="center"/>
              <w:rPr>
                <w:b w:val="0"/>
                <w:bCs w:val="0"/>
                <w:i w:val="1"/>
                <w:iCs w:val="1"/>
                <w:color w:val="FFFFFF" w:themeColor="background1" w:themeTint="FF" w:themeShade="FF"/>
                <w:sz w:val="28"/>
                <w:szCs w:val="28"/>
              </w:rPr>
            </w:pPr>
            <w:r w:rsidRPr="18007D8D" w:rsidR="18EEFD15">
              <w:rPr>
                <w:b w:val="1"/>
                <w:bCs w:val="1"/>
                <w:i w:val="0"/>
                <w:iCs w:val="0"/>
                <w:color w:val="FFFFFF" w:themeColor="background1" w:themeTint="FF" w:themeShade="FF"/>
                <w:sz w:val="28"/>
                <w:szCs w:val="28"/>
              </w:rPr>
              <w:t>Assessments</w:t>
            </w:r>
            <w:r>
              <w:br/>
            </w:r>
            <w:r w:rsidRPr="18007D8D" w:rsidR="31B6379D">
              <w:rPr>
                <w:b w:val="0"/>
                <w:bCs w:val="0"/>
                <w:i w:val="0"/>
                <w:iCs w:val="0"/>
                <w:color w:val="FFFFFF" w:themeColor="background1" w:themeTint="FF" w:themeShade="FF"/>
                <w:sz w:val="28"/>
                <w:szCs w:val="28"/>
              </w:rPr>
              <w:t>Joanne Coward</w:t>
            </w:r>
          </w:p>
          <w:p w:rsidR="00635FC0" w:rsidP="00635FC0" w:rsidRDefault="00635FC0" w14:paraId="463ADB39" w14:textId="03CD6E17">
            <w:pPr>
              <w:jc w:val="center"/>
              <w:rPr>
                <w:b/>
                <w:bCs/>
                <w:sz w:val="28"/>
                <w:szCs w:val="28"/>
              </w:rPr>
            </w:pPr>
          </w:p>
        </w:tc>
        <w:tc>
          <w:tcPr>
            <w:tcW w:w="6511" w:type="dxa"/>
            <w:tcMar/>
          </w:tcPr>
          <w:p w:rsidR="00635FC0" w:rsidP="18007D8D" w:rsidRDefault="00635FC0" w14:paraId="5DC85617" w14:textId="2AFDBBA4">
            <w:pPr>
              <w:pStyle w:val="Normal"/>
              <w:jc w:val="left"/>
              <w:rPr>
                <w:rFonts w:ascii="Calibri" w:hAnsi="Calibri" w:eastAsia="Calibri" w:cs="Calibri" w:asciiTheme="minorAscii" w:hAnsiTheme="minorAscii" w:eastAsiaTheme="minorAscii" w:cstheme="minorAscii"/>
                <w:b w:val="0"/>
                <w:bCs w:val="0"/>
                <w:i w:val="0"/>
                <w:iCs w:val="0"/>
                <w:caps w:val="0"/>
                <w:smallCaps w:val="0"/>
                <w:color w:val="242424"/>
                <w:sz w:val="22"/>
                <w:szCs w:val="22"/>
              </w:rPr>
            </w:pPr>
            <w:r w:rsidR="2F7536D1">
              <w:rPr/>
              <w:t xml:space="preserve">The Assessment Practitioners' Group met in February with over 50 members attending the online event.  We welcomed Kathryn Kendon, Secretary/Registrar at York St John University to her first meeting as our newly appointed Deputy Chair.   However, due to Kathyrn's promotion, we will be seeking a new Deputy Chair for the coming academic year.  We offer her our warmest congratulations on her promotion.  </w:t>
            </w:r>
          </w:p>
          <w:p w:rsidR="00635FC0" w:rsidP="18007D8D" w:rsidRDefault="00635FC0" w14:paraId="3F153ECF" w14:textId="77ACFE5C">
            <w:pPr>
              <w:pStyle w:val="Normal"/>
              <w:jc w:val="left"/>
            </w:pPr>
            <w:r>
              <w:br/>
            </w:r>
            <w:r w:rsidR="2F7536D1">
              <w:rPr/>
              <w:t xml:space="preserve">We were delighted that Jules Forrest and Jack </w:t>
            </w:r>
            <w:r w:rsidR="2F7536D1">
              <w:rPr/>
              <w:t>Guymer</w:t>
            </w:r>
            <w:r w:rsidR="2F7536D1">
              <w:rPr/>
              <w:t xml:space="preserve"> (University of </w:t>
            </w:r>
            <w:r w:rsidR="2F7536D1">
              <w:rPr/>
              <w:t>Bournemouth)  agreed</w:t>
            </w:r>
            <w:r w:rsidR="2F7536D1">
              <w:rPr/>
              <w:t xml:space="preserve"> to </w:t>
            </w:r>
            <w:r w:rsidR="2F7536D1">
              <w:rPr/>
              <w:t>showcase</w:t>
            </w:r>
            <w:r w:rsidR="2F7536D1">
              <w:rPr/>
              <w:t xml:space="preserve"> the work they are undertaking on mitigation which </w:t>
            </w:r>
            <w:r w:rsidR="2F7536D1">
              <w:rPr/>
              <w:t>initiated</w:t>
            </w:r>
            <w:r w:rsidR="2F7536D1">
              <w:rPr/>
              <w:t xml:space="preserve"> a lively debate on what is a live topic in many institutions at the moment</w:t>
            </w:r>
            <w:r w:rsidR="2F7536D1">
              <w:rPr/>
              <w:t xml:space="preserve">.  </w:t>
            </w:r>
            <w:r w:rsidR="2F7536D1">
              <w:rPr/>
              <w:t>Members also shared how their institutions planned to manage and deal with issues arising from industrial action</w:t>
            </w:r>
            <w:r w:rsidR="2F7536D1">
              <w:rPr/>
              <w:t xml:space="preserve">.  </w:t>
            </w:r>
            <w:r w:rsidR="2F7536D1">
              <w:rPr/>
              <w:t>Finally, we had a demonstration of Chat GPT in action and a discussion of its potential implications for assessment and assessment policy and practice.</w:t>
            </w:r>
          </w:p>
          <w:p w:rsidR="00635FC0" w:rsidP="18007D8D" w:rsidRDefault="00635FC0" w14:paraId="3A887EEC" w14:textId="2CDCA476">
            <w:pPr>
              <w:pStyle w:val="Normal"/>
              <w:jc w:val="left"/>
            </w:pPr>
            <w:r>
              <w:br/>
            </w:r>
            <w:r w:rsidR="2F7536D1">
              <w:rPr/>
              <w:t>The planned one-off session on degree outcomes statements and grade inflation has been delayed and we hope to pick this up at our next meeting in May/June.</w:t>
            </w:r>
          </w:p>
          <w:p w:rsidR="00635FC0" w:rsidP="18007D8D" w:rsidRDefault="00635FC0" w14:paraId="23884003" w14:textId="17C1DC09">
            <w:pPr>
              <w:pStyle w:val="Normal"/>
              <w:jc w:val="left"/>
            </w:pPr>
            <w:r>
              <w:br/>
            </w:r>
            <w:r w:rsidR="2F7536D1">
              <w:rPr/>
              <w:t xml:space="preserve">In the meantime, the APG </w:t>
            </w:r>
            <w:r w:rsidR="2F7536D1">
              <w:rPr/>
              <w:t>mailbase</w:t>
            </w:r>
            <w:r w:rsidR="2F7536D1">
              <w:rPr/>
              <w:t xml:space="preserve"> list continues to be </w:t>
            </w:r>
            <w:r w:rsidR="2F7536D1">
              <w:rPr/>
              <w:t>very active</w:t>
            </w:r>
            <w:r w:rsidR="2F7536D1">
              <w:rPr/>
              <w:t xml:space="preserve"> with discussions on academic misconduct, invigilators, use of emergency regulations, exams, </w:t>
            </w:r>
            <w:r w:rsidR="2F7536D1">
              <w:rPr/>
              <w:t>awards</w:t>
            </w:r>
            <w:r w:rsidR="2F7536D1">
              <w:rPr/>
              <w:t xml:space="preserve"> and classification amongst others</w:t>
            </w:r>
            <w:r w:rsidR="2F7536D1">
              <w:rPr/>
              <w:t xml:space="preserve">.  </w:t>
            </w:r>
          </w:p>
          <w:p w:rsidR="00635FC0" w:rsidP="18007D8D" w:rsidRDefault="00635FC0" w14:paraId="5AF8F7F7" w14:textId="263DF4AA">
            <w:pPr>
              <w:pStyle w:val="Normal"/>
              <w:jc w:val="left"/>
            </w:pPr>
            <w:r>
              <w:br/>
            </w:r>
            <w:r w:rsidR="2F7536D1">
              <w:rPr/>
              <w:t xml:space="preserve">The other main topic of discussion was on the </w:t>
            </w:r>
            <w:r w:rsidR="2F7536D1">
              <w:rPr/>
              <w:t>OfS</w:t>
            </w:r>
            <w:r w:rsidR="2F7536D1">
              <w:rPr/>
              <w:t xml:space="preserve"> B4 condition on the retention of students' assessed work, particularly as it is a cause of concern across the sector</w:t>
            </w:r>
            <w:r w:rsidR="2F7536D1">
              <w:rPr/>
              <w:t xml:space="preserve">.  </w:t>
            </w:r>
            <w:r w:rsidR="2F7536D1">
              <w:rPr/>
              <w:t xml:space="preserve"> The Chair of the ARC APG will be </w:t>
            </w:r>
            <w:r w:rsidR="2F7536D1">
              <w:rPr/>
              <w:t>representing</w:t>
            </w:r>
            <w:r w:rsidR="2F7536D1">
              <w:rPr/>
              <w:t xml:space="preserve"> ARC on a </w:t>
            </w:r>
            <w:r w:rsidR="2F7536D1">
              <w:rPr/>
              <w:t>newly-established</w:t>
            </w:r>
            <w:r w:rsidR="2F7536D1">
              <w:rPr/>
              <w:t xml:space="preserve"> </w:t>
            </w:r>
            <w:r w:rsidR="2F7536D1">
              <w:rPr/>
              <w:t>OfS</w:t>
            </w:r>
            <w:r w:rsidR="2F7536D1">
              <w:rPr/>
              <w:t xml:space="preserve"> task and Finish group to discuss the issue</w:t>
            </w:r>
            <w:r w:rsidR="2F7536D1">
              <w:rPr/>
              <w:t xml:space="preserve">.  </w:t>
            </w:r>
            <w:r w:rsidR="2F7536D1">
              <w:rPr/>
              <w:t>Membership also includes representatives from UUK, JISC and AHUA</w:t>
            </w:r>
            <w:r w:rsidR="2F7536D1">
              <w:rPr/>
              <w:t xml:space="preserve">.  </w:t>
            </w:r>
          </w:p>
        </w:tc>
      </w:tr>
      <w:tr w:rsidR="00635FC0" w:rsidTr="18007D8D" w14:paraId="6E221AD6" w14:textId="77777777">
        <w:tc>
          <w:tcPr>
            <w:tcW w:w="2505" w:type="dxa"/>
            <w:shd w:val="clear" w:color="auto" w:fill="E72419"/>
            <w:tcMar/>
          </w:tcPr>
          <w:p w:rsidR="00635FC0" w:rsidP="18007D8D" w:rsidRDefault="00635FC0" w14:paraId="6E6C2269" w14:textId="3EE69C07">
            <w:pPr>
              <w:jc w:val="center"/>
              <w:rPr>
                <w:b w:val="0"/>
                <w:bCs w:val="0"/>
                <w:i w:val="1"/>
                <w:iCs w:val="1"/>
                <w:color w:val="FFFFFF" w:themeColor="background1" w:themeTint="FF" w:themeShade="FF"/>
                <w:sz w:val="28"/>
                <w:szCs w:val="28"/>
              </w:rPr>
            </w:pPr>
            <w:r>
              <w:br/>
            </w:r>
            <w:r w:rsidRPr="18007D8D" w:rsidR="31B6379D">
              <w:rPr>
                <w:b w:val="1"/>
                <w:bCs w:val="1"/>
                <w:i w:val="0"/>
                <w:iCs w:val="0"/>
                <w:color w:val="FFFFFF" w:themeColor="background1" w:themeTint="FF" w:themeShade="FF"/>
                <w:sz w:val="28"/>
                <w:szCs w:val="28"/>
              </w:rPr>
              <w:t>Postgraduate</w:t>
            </w:r>
            <w:r>
              <w:br/>
            </w:r>
            <w:r w:rsidRPr="18007D8D" w:rsidR="37F87A8C">
              <w:rPr>
                <w:b w:val="0"/>
                <w:bCs w:val="0"/>
                <w:i w:val="0"/>
                <w:iCs w:val="0"/>
                <w:color w:val="FFFFFF" w:themeColor="background1" w:themeTint="FF" w:themeShade="FF"/>
                <w:sz w:val="28"/>
                <w:szCs w:val="28"/>
              </w:rPr>
              <w:t>Rachel Birds</w:t>
            </w:r>
            <w:r w:rsidRPr="18007D8D" w:rsidR="37F87A8C">
              <w:rPr>
                <w:b w:val="0"/>
                <w:bCs w:val="0"/>
                <w:i w:val="1"/>
                <w:iCs w:val="1"/>
                <w:color w:val="FFFFFF" w:themeColor="background1" w:themeTint="FF" w:themeShade="FF"/>
                <w:sz w:val="28"/>
                <w:szCs w:val="28"/>
              </w:rPr>
              <w:t xml:space="preserve"> </w:t>
            </w:r>
          </w:p>
          <w:p w:rsidR="00635FC0" w:rsidP="54A2A29C" w:rsidRDefault="00635FC0" w14:paraId="1EDD8139" w14:textId="77777777">
            <w:pPr>
              <w:jc w:val="center"/>
              <w:rPr>
                <w:b w:val="0"/>
                <w:bCs w:val="0"/>
                <w:i w:val="1"/>
                <w:iCs w:val="1"/>
                <w:color w:val="FFFFFF" w:themeColor="background1" w:themeTint="FF" w:themeShade="FF"/>
                <w:sz w:val="28"/>
                <w:szCs w:val="28"/>
              </w:rPr>
            </w:pPr>
          </w:p>
          <w:p w:rsidR="00635FC0" w:rsidP="00635FC0" w:rsidRDefault="00635FC0" w14:paraId="6AC88958" w14:textId="4571191F">
            <w:pPr>
              <w:jc w:val="center"/>
              <w:rPr>
                <w:b/>
                <w:bCs/>
                <w:sz w:val="28"/>
                <w:szCs w:val="28"/>
              </w:rPr>
            </w:pPr>
          </w:p>
        </w:tc>
        <w:tc>
          <w:tcPr>
            <w:tcW w:w="6511" w:type="dxa"/>
            <w:tcMar/>
          </w:tcPr>
          <w:p w:rsidR="00635FC0" w:rsidP="03B18635" w:rsidRDefault="00635FC0" w14:paraId="16588EEC" w14:textId="0DEAAFF2">
            <w:pPr>
              <w:pStyle w:val="Normal"/>
              <w:jc w:val="left"/>
              <w:rPr>
                <w:b w:val="1"/>
                <w:bCs w:val="1"/>
                <w:sz w:val="28"/>
                <w:szCs w:val="28"/>
              </w:rPr>
            </w:pP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The Postgraduate Practitioner Group has not met since our last 'brown bag lunch' on 13 January where we held a discussion around the range of organisational structures supporting postgraduate/doctoral study across the sector. </w:t>
            </w:r>
          </w:p>
          <w:p w:rsidR="00635FC0" w:rsidP="03B18635" w:rsidRDefault="00635FC0" w14:paraId="790596C5" w14:textId="39253896">
            <w:pPr>
              <w:pStyle w:val="Normal"/>
              <w:jc w:val="left"/>
            </w:pP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 </w:t>
            </w:r>
          </w:p>
          <w:p w:rsidR="00635FC0" w:rsidP="03B18635" w:rsidRDefault="00635FC0" w14:paraId="600C7643" w14:textId="7C283078">
            <w:pPr>
              <w:pStyle w:val="Normal"/>
              <w:jc w:val="left"/>
            </w:pP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The next planned event is an online 'brown bag lunch' on Friday 28 April. The theme for the meetings ‘PGR Careers and Employability</w:t>
            </w: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w:t>
            </w: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 We hope this will be of interest not only to our regular members but also to some of their colleagues in careers or placements-related roles. Therefore, members have been </w:t>
            </w: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advised to forward</w:t>
            </w: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 to colleagues who might be interested in attending but do not normally receive our invitations. </w:t>
            </w:r>
          </w:p>
          <w:p w:rsidR="00635FC0" w:rsidP="03B18635" w:rsidRDefault="00635FC0" w14:paraId="3CE53BFF" w14:textId="1D5D08BC">
            <w:pPr>
              <w:pStyle w:val="Normal"/>
              <w:jc w:val="left"/>
            </w:pP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 </w:t>
            </w:r>
          </w:p>
          <w:p w:rsidR="00635FC0" w:rsidP="03B18635" w:rsidRDefault="00635FC0" w14:paraId="2E63CF5F" w14:textId="5F2E387A">
            <w:pPr>
              <w:pStyle w:val="Normal"/>
              <w:jc w:val="left"/>
            </w:pP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Preparations are well underway for our next in-person full day event which will be held at the University of Nottingham on Friday 26 May. The theme for the day is PGR systems and it is proving a popular topic</w:t>
            </w: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  </w:t>
            </w: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Bookings are currently open and over 50% of the available places have been taken already. </w:t>
            </w:r>
          </w:p>
          <w:p w:rsidR="00635FC0" w:rsidP="03B18635" w:rsidRDefault="00635FC0" w14:paraId="3CDE30FC" w14:textId="204EB754">
            <w:pPr>
              <w:pStyle w:val="Normal"/>
              <w:jc w:val="left"/>
            </w:pP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 </w:t>
            </w:r>
          </w:p>
          <w:p w:rsidR="00635FC0" w:rsidP="03B18635" w:rsidRDefault="00635FC0" w14:paraId="34F995BF" w14:textId="7D2BA897">
            <w:pPr>
              <w:pStyle w:val="Normal"/>
              <w:jc w:val="left"/>
            </w:pP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Network members have been engaging via email on topics of interest including the ongoing debate around the pros and cons of online versus in person </w:t>
            </w: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vivas</w:t>
            </w: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 and the perennial challenge of right-to-work checks for external examiners. </w:t>
            </w:r>
          </w:p>
          <w:p w:rsidR="00635FC0" w:rsidP="03B18635" w:rsidRDefault="00635FC0" w14:paraId="06644DA9" w14:textId="2F73C1EF">
            <w:pPr>
              <w:pStyle w:val="Normal"/>
              <w:jc w:val="left"/>
            </w:pP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 </w:t>
            </w:r>
          </w:p>
          <w:p w:rsidR="00635FC0" w:rsidP="03B18635" w:rsidRDefault="00635FC0" w14:paraId="2A49D94D" w14:textId="3F0FE55F">
            <w:pPr>
              <w:pStyle w:val="Normal"/>
              <w:jc w:val="left"/>
            </w:pP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A </w:t>
            </w: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JiscMail</w:t>
            </w: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 list has been created and the group is </w:t>
            </w: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in the process of moving</w:t>
            </w:r>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 over to this channel to host its future email discussions. The address for the list is </w:t>
            </w:r>
            <w:hyperlink r:id="R49c7580db5c647f1">
              <w:r w:rsidRPr="03B18635" w:rsidR="5F2FA82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ARC-PGPG@JISCMAIL.AC.UK.</w:t>
              </w:r>
            </w:hyperlink>
            <w:r w:rsidRPr="03B18635" w:rsidR="5F2FA82F">
              <w:rPr>
                <w:rFonts w:ascii="Calibri" w:hAnsi="Calibri" w:eastAsia="Calibri" w:cs="Calibri" w:asciiTheme="minorAscii" w:hAnsiTheme="minorAscii" w:eastAsiaTheme="minorAscii" w:cstheme="minorAscii"/>
                <w:b w:val="0"/>
                <w:bCs w:val="0"/>
                <w:i w:val="0"/>
                <w:iCs w:val="0"/>
                <w:caps w:val="0"/>
                <w:smallCaps w:val="0"/>
                <w:color w:val="242424"/>
                <w:sz w:val="22"/>
                <w:szCs w:val="22"/>
              </w:rPr>
              <w:t xml:space="preserve"> This aligns with the practice of other ARC practitioner groups.</w:t>
            </w:r>
          </w:p>
        </w:tc>
      </w:tr>
      <w:tr w:rsidR="00635FC0" w:rsidTr="18007D8D" w14:paraId="2573464D" w14:textId="77777777">
        <w:tc>
          <w:tcPr>
            <w:tcW w:w="2505" w:type="dxa"/>
            <w:shd w:val="clear" w:color="auto" w:fill="E72419"/>
            <w:tcMar/>
          </w:tcPr>
          <w:p w:rsidR="00635FC0" w:rsidP="54A2A29C" w:rsidRDefault="00635FC0" w14:paraId="1C3ACAD8" w14:textId="77777777">
            <w:pPr>
              <w:jc w:val="center"/>
              <w:rPr>
                <w:b w:val="0"/>
                <w:bCs w:val="0"/>
                <w:i w:val="0"/>
                <w:iCs w:val="0"/>
                <w:color w:val="FFFFFF" w:themeColor="background1" w:themeTint="FF" w:themeShade="FF"/>
                <w:sz w:val="28"/>
                <w:szCs w:val="28"/>
              </w:rPr>
            </w:pPr>
          </w:p>
          <w:p w:rsidR="00635FC0" w:rsidP="18007D8D" w:rsidRDefault="00635FC0" w14:paraId="73BCACEF" w14:textId="69D08C87">
            <w:pPr>
              <w:jc w:val="center"/>
              <w:rPr>
                <w:b w:val="0"/>
                <w:bCs w:val="0"/>
                <w:i w:val="0"/>
                <w:iCs w:val="0"/>
                <w:color w:val="FFFFFF" w:themeColor="background1" w:themeTint="FF" w:themeShade="FF"/>
                <w:sz w:val="28"/>
                <w:szCs w:val="28"/>
              </w:rPr>
            </w:pPr>
            <w:r w:rsidRPr="18007D8D" w:rsidR="37F87A8C">
              <w:rPr>
                <w:b w:val="1"/>
                <w:bCs w:val="1"/>
                <w:i w:val="0"/>
                <w:iCs w:val="0"/>
                <w:color w:val="FFFFFF" w:themeColor="background1" w:themeTint="FF" w:themeShade="FF"/>
                <w:sz w:val="28"/>
                <w:szCs w:val="28"/>
              </w:rPr>
              <w:t>Quality Assurance</w:t>
            </w:r>
            <w:r w:rsidRPr="18007D8D" w:rsidR="37F87A8C">
              <w:rPr>
                <w:b w:val="0"/>
                <w:bCs w:val="0"/>
                <w:i w:val="0"/>
                <w:iCs w:val="0"/>
                <w:color w:val="FFFFFF" w:themeColor="background1" w:themeTint="FF" w:themeShade="FF"/>
                <w:sz w:val="28"/>
                <w:szCs w:val="28"/>
              </w:rPr>
              <w:t xml:space="preserve"> </w:t>
            </w:r>
            <w:r>
              <w:br/>
            </w:r>
            <w:r w:rsidRPr="18007D8D" w:rsidR="43D4F79A">
              <w:rPr>
                <w:b w:val="0"/>
                <w:bCs w:val="0"/>
                <w:i w:val="0"/>
                <w:iCs w:val="0"/>
                <w:color w:val="FFFFFF" w:themeColor="background1" w:themeTint="FF" w:themeShade="FF"/>
                <w:sz w:val="28"/>
                <w:szCs w:val="28"/>
              </w:rPr>
              <w:t>Jacky Mack</w:t>
            </w:r>
          </w:p>
          <w:p w:rsidR="00635FC0" w:rsidP="54A2A29C" w:rsidRDefault="00635FC0" w14:paraId="2D6C88F7" w14:textId="16847D03">
            <w:pPr>
              <w:jc w:val="center"/>
              <w:rPr>
                <w:b w:val="0"/>
                <w:bCs w:val="0"/>
                <w:i w:val="0"/>
                <w:iCs w:val="0"/>
                <w:color w:val="FFFFFF" w:themeColor="background1" w:themeTint="FF" w:themeShade="FF"/>
                <w:sz w:val="28"/>
                <w:szCs w:val="28"/>
              </w:rPr>
            </w:pPr>
          </w:p>
        </w:tc>
        <w:tc>
          <w:tcPr>
            <w:tcW w:w="6511" w:type="dxa"/>
            <w:tcMar/>
          </w:tcPr>
          <w:p w:rsidR="00635FC0" w:rsidP="03B18635" w:rsidRDefault="00635FC0" w14:paraId="2902D790" w14:textId="2186BFA5">
            <w:pPr>
              <w:jc w:val="center"/>
              <w:rPr>
                <w:b w:val="1"/>
                <w:bCs w:val="1"/>
                <w:sz w:val="28"/>
                <w:szCs w:val="28"/>
              </w:rPr>
            </w:pPr>
          </w:p>
          <w:p w:rsidR="00635FC0" w:rsidP="18007D8D" w:rsidRDefault="00635FC0" w14:paraId="37CF4412" w14:textId="5FC1E277">
            <w:pPr>
              <w:pStyle w:val="Normal"/>
              <w:bidi w:val="0"/>
              <w:spacing w:before="0" w:beforeAutospacing="off" w:after="0" w:afterAutospacing="off" w:line="259" w:lineRule="auto"/>
              <w:ind w:left="0" w:right="0"/>
              <w:jc w:val="center"/>
              <w:rPr>
                <w:rFonts w:ascii="Calibri" w:hAnsi="Calibri" w:eastAsia="Calibri" w:cs="Calibri" w:asciiTheme="minorAscii" w:hAnsiTheme="minorAscii" w:eastAsiaTheme="minorAscii" w:cstheme="minorAscii"/>
                <w:b w:val="0"/>
                <w:bCs w:val="0"/>
                <w:i w:val="0"/>
                <w:iCs w:val="0"/>
                <w:caps w:val="0"/>
                <w:smallCaps w:val="0"/>
                <w:color w:val="242424"/>
                <w:sz w:val="22"/>
                <w:szCs w:val="22"/>
              </w:rPr>
            </w:pPr>
          </w:p>
        </w:tc>
      </w:tr>
      <w:tr w:rsidR="00635FC0" w:rsidTr="18007D8D" w14:paraId="3C390584" w14:textId="77777777">
        <w:tc>
          <w:tcPr>
            <w:tcW w:w="2505" w:type="dxa"/>
            <w:shd w:val="clear" w:color="auto" w:fill="E72419"/>
            <w:tcMar/>
          </w:tcPr>
          <w:p w:rsidR="00635FC0" w:rsidP="54A2A29C" w:rsidRDefault="00635FC0" w14:paraId="38E07803" w14:textId="77777777">
            <w:pPr>
              <w:jc w:val="center"/>
              <w:rPr>
                <w:b w:val="0"/>
                <w:bCs w:val="0"/>
                <w:i w:val="0"/>
                <w:iCs w:val="0"/>
                <w:color w:val="FFFFFF" w:themeColor="background1" w:themeTint="FF" w:themeShade="FF"/>
                <w:sz w:val="28"/>
                <w:szCs w:val="28"/>
              </w:rPr>
            </w:pPr>
          </w:p>
          <w:p w:rsidR="00635FC0" w:rsidP="18007D8D" w:rsidRDefault="00635FC0" w14:paraId="507F7781" w14:textId="20B1FB92">
            <w:pPr>
              <w:jc w:val="center"/>
              <w:rPr>
                <w:b w:val="0"/>
                <w:bCs w:val="0"/>
                <w:i w:val="0"/>
                <w:iCs w:val="0"/>
                <w:color w:val="FFFFFF" w:themeColor="background1" w:themeTint="FF" w:themeShade="FF"/>
                <w:sz w:val="28"/>
                <w:szCs w:val="28"/>
              </w:rPr>
            </w:pPr>
            <w:r w:rsidRPr="18007D8D" w:rsidR="43D4F79A">
              <w:rPr>
                <w:b w:val="1"/>
                <w:bCs w:val="1"/>
                <w:i w:val="0"/>
                <w:iCs w:val="0"/>
                <w:color w:val="FFFFFF" w:themeColor="background1" w:themeTint="FF" w:themeShade="FF"/>
                <w:sz w:val="28"/>
                <w:szCs w:val="28"/>
              </w:rPr>
              <w:t>SROC</w:t>
            </w:r>
            <w:r w:rsidRPr="18007D8D" w:rsidR="43D4F79A">
              <w:rPr>
                <w:b w:val="0"/>
                <w:bCs w:val="0"/>
                <w:i w:val="0"/>
                <w:iCs w:val="0"/>
                <w:color w:val="FFFFFF" w:themeColor="background1" w:themeTint="FF" w:themeShade="FF"/>
                <w:sz w:val="28"/>
                <w:szCs w:val="28"/>
              </w:rPr>
              <w:t xml:space="preserve"> </w:t>
            </w:r>
            <w:r>
              <w:br/>
            </w:r>
            <w:r w:rsidRPr="18007D8D" w:rsidR="1D51A4DC">
              <w:rPr>
                <w:b w:val="0"/>
                <w:bCs w:val="0"/>
                <w:i w:val="0"/>
                <w:iCs w:val="0"/>
                <w:color w:val="FFFFFF" w:themeColor="background1" w:themeTint="FF" w:themeShade="FF"/>
                <w:sz w:val="28"/>
                <w:szCs w:val="28"/>
              </w:rPr>
              <w:t>Marian Hilditch</w:t>
            </w:r>
          </w:p>
          <w:p w:rsidR="00635FC0" w:rsidP="54A2A29C" w:rsidRDefault="00635FC0" w14:paraId="525CB0B1" w14:textId="1668E0A9">
            <w:pPr>
              <w:jc w:val="center"/>
              <w:rPr>
                <w:b w:val="0"/>
                <w:bCs w:val="0"/>
                <w:i w:val="0"/>
                <w:iCs w:val="0"/>
                <w:color w:val="FFFFFF" w:themeColor="background1" w:themeTint="FF" w:themeShade="FF"/>
                <w:sz w:val="28"/>
                <w:szCs w:val="28"/>
              </w:rPr>
            </w:pPr>
          </w:p>
        </w:tc>
        <w:tc>
          <w:tcPr>
            <w:tcW w:w="6511" w:type="dxa"/>
            <w:tcMar/>
          </w:tcPr>
          <w:p w:rsidR="00635FC0" w:rsidP="03B18635" w:rsidRDefault="00635FC0" w14:paraId="0F8BFA81" w14:textId="7A601CA4">
            <w:pPr>
              <w:jc w:val="center"/>
              <w:rPr>
                <w:b w:val="1"/>
                <w:bCs w:val="1"/>
                <w:sz w:val="28"/>
                <w:szCs w:val="28"/>
              </w:rPr>
            </w:pPr>
          </w:p>
          <w:p w:rsidR="00635FC0" w:rsidP="18007D8D" w:rsidRDefault="00635FC0" w14:paraId="48F36365" w14:textId="573F589F">
            <w:pPr>
              <w:pStyle w:val="Normal"/>
              <w:jc w:val="center"/>
              <w:rPr>
                <w:rFonts w:ascii="Calibri" w:hAnsi="Calibri" w:eastAsia="Calibri" w:cs="Calibri" w:asciiTheme="minorAscii" w:hAnsiTheme="minorAscii" w:eastAsiaTheme="minorAscii" w:cstheme="minorAscii"/>
                <w:b w:val="0"/>
                <w:bCs w:val="0"/>
                <w:i w:val="0"/>
                <w:iCs w:val="0"/>
                <w:caps w:val="0"/>
                <w:smallCaps w:val="0"/>
                <w:color w:val="242424"/>
                <w:sz w:val="22"/>
                <w:szCs w:val="22"/>
              </w:rPr>
            </w:pPr>
          </w:p>
        </w:tc>
      </w:tr>
      <w:tr w:rsidR="00635FC0" w:rsidTr="18007D8D" w14:paraId="322F6DFF" w14:textId="77777777">
        <w:tc>
          <w:tcPr>
            <w:tcW w:w="2505" w:type="dxa"/>
            <w:shd w:val="clear" w:color="auto" w:fill="E72419"/>
            <w:tcMar/>
          </w:tcPr>
          <w:p w:rsidR="00635FC0" w:rsidP="18007D8D" w:rsidRDefault="00635FC0" w14:paraId="553FC8B1" w14:textId="77777777">
            <w:pPr>
              <w:jc w:val="center"/>
              <w:rPr>
                <w:b w:val="1"/>
                <w:bCs w:val="1"/>
                <w:i w:val="0"/>
                <w:iCs w:val="0"/>
                <w:color w:val="FFFFFF" w:themeColor="background1" w:themeTint="FF" w:themeShade="FF"/>
                <w:sz w:val="28"/>
                <w:szCs w:val="28"/>
              </w:rPr>
            </w:pPr>
          </w:p>
          <w:p w:rsidR="00635FC0" w:rsidP="18007D8D" w:rsidRDefault="00635FC0" w14:paraId="0D95C7AD" w14:textId="5531C27B">
            <w:pPr>
              <w:jc w:val="center"/>
              <w:rPr>
                <w:b w:val="0"/>
                <w:bCs w:val="0"/>
                <w:i w:val="0"/>
                <w:iCs w:val="0"/>
                <w:color w:val="FFFFFF" w:themeColor="background1" w:themeTint="FF" w:themeShade="FF"/>
                <w:sz w:val="28"/>
                <w:szCs w:val="28"/>
              </w:rPr>
            </w:pPr>
            <w:r w:rsidRPr="18007D8D" w:rsidR="1D51A4DC">
              <w:rPr>
                <w:b w:val="1"/>
                <w:bCs w:val="1"/>
                <w:i w:val="0"/>
                <w:iCs w:val="0"/>
                <w:color w:val="FFFFFF" w:themeColor="background1" w:themeTint="FF" w:themeShade="FF"/>
                <w:sz w:val="28"/>
                <w:szCs w:val="28"/>
              </w:rPr>
              <w:t>Student Casework</w:t>
            </w:r>
            <w:r w:rsidRPr="18007D8D" w:rsidR="1D51A4DC">
              <w:rPr>
                <w:b w:val="0"/>
                <w:bCs w:val="0"/>
                <w:i w:val="0"/>
                <w:iCs w:val="0"/>
                <w:color w:val="FFFFFF" w:themeColor="background1" w:themeTint="FF" w:themeShade="FF"/>
                <w:sz w:val="28"/>
                <w:szCs w:val="28"/>
              </w:rPr>
              <w:t xml:space="preserve"> </w:t>
            </w:r>
            <w:r>
              <w:br/>
            </w:r>
            <w:r w:rsidRPr="18007D8D" w:rsidR="5010F334">
              <w:rPr>
                <w:b w:val="0"/>
                <w:bCs w:val="0"/>
                <w:i w:val="0"/>
                <w:iCs w:val="0"/>
                <w:color w:val="FFFFFF" w:themeColor="background1" w:themeTint="FF" w:themeShade="FF"/>
                <w:sz w:val="28"/>
                <w:szCs w:val="28"/>
              </w:rPr>
              <w:t xml:space="preserve">Lysandre </w:t>
            </w:r>
            <w:r w:rsidRPr="18007D8D" w:rsidR="12208E3C">
              <w:rPr>
                <w:b w:val="0"/>
                <w:bCs w:val="0"/>
                <w:i w:val="0"/>
                <w:iCs w:val="0"/>
                <w:color w:val="FFFFFF" w:themeColor="background1" w:themeTint="FF" w:themeShade="FF"/>
                <w:sz w:val="28"/>
                <w:szCs w:val="28"/>
              </w:rPr>
              <w:t>d</w:t>
            </w:r>
            <w:r w:rsidRPr="18007D8D" w:rsidR="5010F334">
              <w:rPr>
                <w:b w:val="0"/>
                <w:bCs w:val="0"/>
                <w:i w:val="0"/>
                <w:iCs w:val="0"/>
                <w:color w:val="FFFFFF" w:themeColor="background1" w:themeTint="FF" w:themeShade="FF"/>
                <w:sz w:val="28"/>
                <w:szCs w:val="28"/>
              </w:rPr>
              <w:t>e</w:t>
            </w:r>
            <w:r w:rsidRPr="18007D8D" w:rsidR="33E3B433">
              <w:rPr>
                <w:b w:val="0"/>
                <w:bCs w:val="0"/>
                <w:i w:val="0"/>
                <w:iCs w:val="0"/>
                <w:color w:val="FFFFFF" w:themeColor="background1" w:themeTint="FF" w:themeShade="FF"/>
                <w:sz w:val="28"/>
                <w:szCs w:val="28"/>
              </w:rPr>
              <w:t>-l</w:t>
            </w:r>
            <w:r w:rsidRPr="18007D8D" w:rsidR="5010F334">
              <w:rPr>
                <w:b w:val="0"/>
                <w:bCs w:val="0"/>
                <w:i w:val="0"/>
                <w:iCs w:val="0"/>
                <w:color w:val="FFFFFF" w:themeColor="background1" w:themeTint="FF" w:themeShade="FF"/>
                <w:sz w:val="28"/>
                <w:szCs w:val="28"/>
              </w:rPr>
              <w:t>a</w:t>
            </w:r>
            <w:r w:rsidRPr="18007D8D" w:rsidR="25BB8D5D">
              <w:rPr>
                <w:b w:val="0"/>
                <w:bCs w:val="0"/>
                <w:i w:val="0"/>
                <w:iCs w:val="0"/>
                <w:color w:val="FFFFFF" w:themeColor="background1" w:themeTint="FF" w:themeShade="FF"/>
                <w:sz w:val="28"/>
                <w:szCs w:val="28"/>
              </w:rPr>
              <w:t>-H</w:t>
            </w:r>
            <w:r w:rsidRPr="18007D8D" w:rsidR="5010F334">
              <w:rPr>
                <w:b w:val="0"/>
                <w:bCs w:val="0"/>
                <w:i w:val="0"/>
                <w:iCs w:val="0"/>
                <w:color w:val="FFFFFF" w:themeColor="background1" w:themeTint="FF" w:themeShade="FF"/>
                <w:sz w:val="28"/>
                <w:szCs w:val="28"/>
              </w:rPr>
              <w:t>aye</w:t>
            </w:r>
            <w:r w:rsidRPr="18007D8D" w:rsidR="5010F334">
              <w:rPr>
                <w:b w:val="0"/>
                <w:bCs w:val="0"/>
                <w:i w:val="0"/>
                <w:iCs w:val="0"/>
                <w:color w:val="FFFFFF" w:themeColor="background1" w:themeTint="FF" w:themeShade="FF"/>
                <w:sz w:val="28"/>
                <w:szCs w:val="28"/>
              </w:rPr>
              <w:t xml:space="preserve"> </w:t>
            </w:r>
          </w:p>
          <w:p w:rsidR="00635FC0" w:rsidP="54A2A29C" w:rsidRDefault="00635FC0" w14:paraId="72955B0A" w14:textId="0B0302F9">
            <w:pPr>
              <w:jc w:val="center"/>
              <w:rPr>
                <w:b w:val="0"/>
                <w:bCs w:val="0"/>
                <w:i w:val="0"/>
                <w:iCs w:val="0"/>
                <w:color w:val="FFFFFF" w:themeColor="background1" w:themeTint="FF" w:themeShade="FF"/>
                <w:sz w:val="28"/>
                <w:szCs w:val="28"/>
              </w:rPr>
            </w:pPr>
          </w:p>
        </w:tc>
        <w:tc>
          <w:tcPr>
            <w:tcW w:w="6511" w:type="dxa"/>
            <w:tcMar/>
          </w:tcPr>
          <w:p w:rsidR="5931571F" w:rsidP="18007D8D" w:rsidRDefault="5931571F" w14:paraId="77E3CFF6" w14:textId="1DBA24B7">
            <w:pPr>
              <w:pStyle w:val="Normal"/>
              <w:spacing w:line="257"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242424"/>
                <w:sz w:val="22"/>
                <w:szCs w:val="22"/>
                <w:lang w:val="en-GB"/>
              </w:rPr>
            </w:pPr>
            <w:r w:rsidRPr="18007D8D" w:rsidR="5931571F">
              <w:rPr>
                <w:rFonts w:ascii="Calibri" w:hAnsi="Calibri" w:eastAsia="Calibri" w:cs="Calibri" w:asciiTheme="minorAscii" w:hAnsiTheme="minorAscii" w:eastAsiaTheme="minorAscii" w:cstheme="minorAscii"/>
                <w:b w:val="1"/>
                <w:bCs w:val="1"/>
                <w:i w:val="0"/>
                <w:iCs w:val="0"/>
                <w:caps w:val="0"/>
                <w:smallCaps w:val="0"/>
                <w:noProof w:val="0"/>
                <w:color w:val="242424"/>
                <w:sz w:val="22"/>
                <w:szCs w:val="22"/>
                <w:lang w:val="en-GB"/>
              </w:rPr>
              <w:t>Report of the Student Casework Practitioners Group meeting held on 24</w:t>
            </w:r>
            <w:r w:rsidRPr="18007D8D" w:rsidR="5931571F">
              <w:rPr>
                <w:rFonts w:ascii="Calibri" w:hAnsi="Calibri" w:eastAsia="Calibri" w:cs="Calibri" w:asciiTheme="minorAscii" w:hAnsiTheme="minorAscii" w:eastAsiaTheme="minorAscii" w:cstheme="minorAscii"/>
                <w:b w:val="1"/>
                <w:bCs w:val="1"/>
                <w:i w:val="0"/>
                <w:iCs w:val="0"/>
                <w:caps w:val="0"/>
                <w:smallCaps w:val="0"/>
                <w:noProof w:val="0"/>
                <w:color w:val="242424"/>
                <w:sz w:val="22"/>
                <w:szCs w:val="22"/>
                <w:vertAlign w:val="superscript"/>
                <w:lang w:val="en-GB"/>
              </w:rPr>
              <w:t>th</w:t>
            </w:r>
            <w:r w:rsidRPr="18007D8D" w:rsidR="5931571F">
              <w:rPr>
                <w:rFonts w:ascii="Calibri" w:hAnsi="Calibri" w:eastAsia="Calibri" w:cs="Calibri" w:asciiTheme="minorAscii" w:hAnsiTheme="minorAscii" w:eastAsiaTheme="minorAscii" w:cstheme="minorAscii"/>
                <w:b w:val="1"/>
                <w:bCs w:val="1"/>
                <w:i w:val="0"/>
                <w:iCs w:val="0"/>
                <w:caps w:val="0"/>
                <w:smallCaps w:val="0"/>
                <w:noProof w:val="0"/>
                <w:color w:val="242424"/>
                <w:sz w:val="22"/>
                <w:szCs w:val="22"/>
                <w:lang w:val="en-GB"/>
              </w:rPr>
              <w:t xml:space="preserve"> February 2023</w:t>
            </w:r>
          </w:p>
          <w:p w:rsidR="00635FC0" w:rsidP="54A2A29C" w:rsidRDefault="00635FC0" w14:paraId="5BF44FC5" w14:textId="78594836">
            <w:pPr>
              <w:spacing w:line="257"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 </w:t>
            </w:r>
          </w:p>
          <w:p w:rsidR="00635FC0" w:rsidP="54A2A29C" w:rsidRDefault="00635FC0" w14:paraId="74AE6565" w14:textId="39AC92EA">
            <w:pPr>
              <w:spacing w:line="257"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The meeting was held in person for the first time in two years and the return to </w:t>
            </w:r>
            <w:proofErr w:type="gramStart"/>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face to face</w:t>
            </w:r>
            <w:proofErr w:type="gramEnd"/>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 meetings was welcomed, with it suggested that the meeting time be extended to accommodate the discussion which took place after the meeting.</w:t>
            </w:r>
            <w:r>
              <w:br/>
            </w:r>
          </w:p>
          <w:p w:rsidR="00635FC0" w:rsidP="54A2A29C" w:rsidRDefault="00635FC0" w14:paraId="3E858DD9" w14:textId="3A9D1064">
            <w:pPr>
              <w:spacing w:line="257"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The meeting covered an update from the Investigators Network on their work within HEIs, and the legal update provided by Julian </w:t>
            </w:r>
            <w:proofErr w:type="spellStart"/>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Sladdin</w:t>
            </w:r>
            <w:proofErr w:type="spellEnd"/>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 xml:space="preserve"> from Pinsent Masons which included the current frameworks available for tackling academic misconduct and in particular highlighted the increase in international essay mills and the definitions of commercial activity which provided some loopholes. </w:t>
            </w:r>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The issue of students also facing blackmail/intimidation via contract cheating and the rise of AI were also reported.</w:t>
            </w:r>
            <w:r>
              <w:br/>
            </w:r>
          </w:p>
          <w:p w:rsidR="00635FC0" w:rsidP="54A2A29C" w:rsidRDefault="00635FC0" w14:paraId="360BD908" w14:textId="08C630B9">
            <w:pPr>
              <w:spacing w:line="257"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The session also highlighted legal and regulatory framework available  whilst reminding colleagues of the support needed for students in handling these cases.</w:t>
            </w:r>
            <w:r>
              <w:br/>
            </w:r>
          </w:p>
          <w:p w:rsidR="00635FC0" w:rsidP="54A2A29C" w:rsidRDefault="00635FC0" w14:paraId="066A3EAA" w14:textId="796FE0AE">
            <w:pPr>
              <w:spacing w:line="257"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A regular update was also received from the Office of the Independent Adjudicator, which dealt with 2,850 complaints in 2022, with issues relating to services and academic appeals forming the majority of the cases received.</w:t>
            </w:r>
            <w:r>
              <w:br/>
            </w:r>
          </w:p>
          <w:p w:rsidR="00635FC0" w:rsidP="54A2A29C" w:rsidRDefault="00635FC0" w14:paraId="7F48F2CC" w14:textId="156749C7">
            <w:pPr>
              <w:spacing w:line="257"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The range of different issues including cost of living crisis, travel, accommodation, welfare and the balance between employment and study were noted and in particular the issues around industrial action and the OIAs approach to both industrial action and group complaints.</w:t>
            </w:r>
            <w:r>
              <w:br/>
            </w:r>
          </w:p>
          <w:p w:rsidR="00635FC0" w:rsidP="54A2A29C" w:rsidRDefault="00635FC0" w14:paraId="25818F3A" w14:textId="024C4555">
            <w:pPr>
              <w:spacing w:line="257"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A workshop was also provided on data sharing in relation to complaints involving students and in particular what part data protection legislation played in this and finally colleagues from the University of Surrey kindly provided information on their Responding to Sexual Misconduct by Students Toolkit.</w:t>
            </w:r>
            <w:r>
              <w:br/>
            </w:r>
          </w:p>
          <w:p w:rsidR="00635FC0" w:rsidP="54A2A29C" w:rsidRDefault="00635FC0" w14:paraId="66D2706A" w14:textId="4C170A73">
            <w:pPr>
              <w:spacing w:line="257"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pPr>
            <w:r w:rsidRPr="54A2A29C" w:rsidR="37AFE894">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en-GB"/>
              </w:rPr>
              <w:t>The meeting was well attended with more than 30 colleagues attending and the next meeting is scheduled for 16th June 2023.</w:t>
            </w:r>
          </w:p>
        </w:tc>
      </w:tr>
      <w:tr w:rsidR="54A2A29C" w:rsidTr="18007D8D" w14:paraId="539C719E">
        <w:trPr>
          <w:trHeight w:val="300"/>
        </w:trPr>
        <w:tc>
          <w:tcPr>
            <w:tcW w:w="2505" w:type="dxa"/>
            <w:shd w:val="clear" w:color="auto" w:fill="E72419"/>
            <w:tcMar/>
          </w:tcPr>
          <w:p w:rsidR="5010F334" w:rsidP="18007D8D" w:rsidRDefault="5010F334" w14:paraId="0717EDA0" w14:textId="7E459242">
            <w:pPr>
              <w:pStyle w:val="Normal"/>
              <w:jc w:val="center"/>
              <w:rPr>
                <w:b w:val="0"/>
                <w:bCs w:val="0"/>
                <w:i w:val="0"/>
                <w:iCs w:val="0"/>
                <w:color w:val="FFFFFF" w:themeColor="background1" w:themeTint="FF" w:themeShade="FF"/>
                <w:sz w:val="28"/>
                <w:szCs w:val="28"/>
              </w:rPr>
            </w:pPr>
            <w:r w:rsidRPr="18007D8D" w:rsidR="5010F334">
              <w:rPr>
                <w:b w:val="1"/>
                <w:bCs w:val="1"/>
                <w:i w:val="0"/>
                <w:iCs w:val="0"/>
                <w:color w:val="FFFFFF" w:themeColor="background1" w:themeTint="FF" w:themeShade="FF"/>
                <w:sz w:val="28"/>
                <w:szCs w:val="28"/>
              </w:rPr>
              <w:t xml:space="preserve">Subjects Allied to Medicine </w:t>
            </w:r>
            <w:r>
              <w:br/>
            </w:r>
            <w:r w:rsidRPr="18007D8D" w:rsidR="64122228">
              <w:rPr>
                <w:b w:val="0"/>
                <w:bCs w:val="0"/>
                <w:i w:val="0"/>
                <w:iCs w:val="0"/>
                <w:color w:val="FFFFFF" w:themeColor="background1" w:themeTint="FF" w:themeShade="FF"/>
                <w:sz w:val="28"/>
                <w:szCs w:val="28"/>
              </w:rPr>
              <w:t xml:space="preserve">Stephen Wiggins </w:t>
            </w:r>
          </w:p>
        </w:tc>
        <w:tc>
          <w:tcPr>
            <w:tcW w:w="6511" w:type="dxa"/>
            <w:tcMar/>
          </w:tcPr>
          <w:p w:rsidR="54A2A29C" w:rsidP="03B18635" w:rsidRDefault="54A2A29C" w14:paraId="2B041241" w14:textId="12A25F09">
            <w:pPr>
              <w:pStyle w:val="Normal"/>
              <w:jc w:val="center"/>
              <w:rPr>
                <w:b w:val="1"/>
                <w:bCs w:val="1"/>
                <w:sz w:val="28"/>
                <w:szCs w:val="28"/>
              </w:rPr>
            </w:pPr>
          </w:p>
          <w:p w:rsidR="54A2A29C" w:rsidP="18007D8D" w:rsidRDefault="54A2A29C" w14:paraId="3E571F68" w14:textId="1E4A827C">
            <w:pPr>
              <w:pStyle w:val="Normal"/>
              <w:jc w:val="center"/>
              <w:rPr>
                <w:rFonts w:ascii="Calibri" w:hAnsi="Calibri" w:eastAsia="Calibri" w:cs="Calibri" w:asciiTheme="minorAscii" w:hAnsiTheme="minorAscii" w:eastAsiaTheme="minorAscii" w:cstheme="minorAscii"/>
                <w:b w:val="0"/>
                <w:bCs w:val="0"/>
                <w:i w:val="0"/>
                <w:iCs w:val="0"/>
                <w:caps w:val="0"/>
                <w:smallCaps w:val="0"/>
                <w:color w:val="242424"/>
                <w:sz w:val="22"/>
                <w:szCs w:val="22"/>
              </w:rPr>
            </w:pPr>
          </w:p>
        </w:tc>
      </w:tr>
      <w:tr w:rsidR="54A2A29C" w:rsidTr="18007D8D" w14:paraId="67FE225C">
        <w:trPr>
          <w:trHeight w:val="300"/>
        </w:trPr>
        <w:tc>
          <w:tcPr>
            <w:tcW w:w="2505" w:type="dxa"/>
            <w:shd w:val="clear" w:color="auto" w:fill="E72419"/>
            <w:tcMar/>
          </w:tcPr>
          <w:p w:rsidR="64122228" w:rsidP="18007D8D" w:rsidRDefault="64122228" w14:paraId="34BD2FB2" w14:textId="32751C91">
            <w:pPr>
              <w:pStyle w:val="Normal"/>
              <w:jc w:val="center"/>
              <w:rPr>
                <w:b w:val="1"/>
                <w:bCs w:val="1"/>
                <w:i w:val="1"/>
                <w:iCs w:val="1"/>
                <w:color w:val="FFFFFF" w:themeColor="background1" w:themeTint="FF" w:themeShade="FF"/>
                <w:sz w:val="28"/>
                <w:szCs w:val="28"/>
              </w:rPr>
            </w:pPr>
            <w:r w:rsidRPr="18007D8D" w:rsidR="64122228">
              <w:rPr>
                <w:b w:val="1"/>
                <w:bCs w:val="1"/>
                <w:i w:val="0"/>
                <w:iCs w:val="0"/>
                <w:color w:val="FFFFFF" w:themeColor="background1" w:themeTint="FF" w:themeShade="FF"/>
                <w:sz w:val="28"/>
                <w:szCs w:val="28"/>
              </w:rPr>
              <w:t xml:space="preserve">Timetabling </w:t>
            </w:r>
          </w:p>
          <w:p w:rsidR="64122228" w:rsidP="18007D8D" w:rsidRDefault="64122228" w14:paraId="101BA50B" w14:textId="4AA19FA7">
            <w:pPr>
              <w:pStyle w:val="Normal"/>
              <w:jc w:val="center"/>
              <w:rPr>
                <w:b w:val="0"/>
                <w:bCs w:val="0"/>
                <w:i w:val="1"/>
                <w:iCs w:val="1"/>
                <w:color w:val="FFFFFF" w:themeColor="background1" w:themeTint="FF" w:themeShade="FF"/>
                <w:sz w:val="28"/>
                <w:szCs w:val="28"/>
              </w:rPr>
            </w:pPr>
            <w:r w:rsidRPr="18007D8D" w:rsidR="46539FEE">
              <w:rPr>
                <w:b w:val="0"/>
                <w:bCs w:val="0"/>
                <w:i w:val="0"/>
                <w:iCs w:val="0"/>
                <w:color w:val="FFFFFF" w:themeColor="background1" w:themeTint="FF" w:themeShade="FF"/>
                <w:sz w:val="28"/>
                <w:szCs w:val="28"/>
              </w:rPr>
              <w:t>Clare Gough</w:t>
            </w:r>
            <w:r>
              <w:br/>
            </w:r>
          </w:p>
        </w:tc>
        <w:tc>
          <w:tcPr>
            <w:tcW w:w="6511" w:type="dxa"/>
            <w:tcMar/>
          </w:tcPr>
          <w:p w:rsidR="54A2A29C" w:rsidP="18007D8D" w:rsidRDefault="54A2A29C" w14:paraId="3A895287" w14:textId="5BA8C72F">
            <w:pPr>
              <w:ind w:left="360" w:hanging="360"/>
              <w:jc w:val="left"/>
              <w:rPr>
                <w:rFonts w:ascii="Calibri" w:hAnsi="Calibri" w:eastAsia="Calibri" w:cs="Calibri"/>
                <w:b w:val="1"/>
                <w:bCs w:val="1"/>
                <w:noProof w:val="0"/>
                <w:sz w:val="22"/>
                <w:szCs w:val="22"/>
                <w:lang w:val="en-GB"/>
              </w:rPr>
            </w:pPr>
            <w:r w:rsidRPr="18007D8D" w:rsidR="31EF0D2D">
              <w:rPr>
                <w:rFonts w:ascii="Calibri" w:hAnsi="Calibri" w:eastAsia="Calibri" w:cs="Calibri"/>
                <w:b w:val="1"/>
                <w:bCs w:val="1"/>
                <w:noProof w:val="0"/>
                <w:sz w:val="22"/>
                <w:szCs w:val="22"/>
                <w:lang w:val="en-GB"/>
              </w:rPr>
              <w:t>Timetabling Practitioners Group held 30</w:t>
            </w:r>
            <w:r w:rsidRPr="18007D8D" w:rsidR="31EF0D2D">
              <w:rPr>
                <w:rFonts w:ascii="Calibri" w:hAnsi="Calibri" w:eastAsia="Calibri" w:cs="Calibri"/>
                <w:b w:val="1"/>
                <w:bCs w:val="1"/>
                <w:noProof w:val="0"/>
                <w:sz w:val="22"/>
                <w:szCs w:val="22"/>
                <w:vertAlign w:val="superscript"/>
                <w:lang w:val="en-GB"/>
              </w:rPr>
              <w:t>th</w:t>
            </w:r>
            <w:r w:rsidRPr="18007D8D" w:rsidR="31EF0D2D">
              <w:rPr>
                <w:rFonts w:ascii="Calibri" w:hAnsi="Calibri" w:eastAsia="Calibri" w:cs="Calibri"/>
                <w:b w:val="1"/>
                <w:bCs w:val="1"/>
                <w:noProof w:val="0"/>
                <w:sz w:val="22"/>
                <w:szCs w:val="22"/>
                <w:lang w:val="en-GB"/>
              </w:rPr>
              <w:t xml:space="preserve"> March 2023 at the</w:t>
            </w:r>
          </w:p>
          <w:p w:rsidR="54A2A29C" w:rsidP="18007D8D" w:rsidRDefault="54A2A29C" w14:paraId="2002B18F" w14:textId="071CAAAC">
            <w:pPr>
              <w:ind w:left="360" w:hanging="360"/>
              <w:jc w:val="left"/>
              <w:rPr>
                <w:rFonts w:ascii="Calibri" w:hAnsi="Calibri" w:eastAsia="Calibri" w:cs="Calibri"/>
                <w:b w:val="1"/>
                <w:bCs w:val="1"/>
                <w:noProof w:val="0"/>
                <w:sz w:val="22"/>
                <w:szCs w:val="22"/>
                <w:lang w:val="en-GB"/>
              </w:rPr>
            </w:pPr>
            <w:r w:rsidRPr="18007D8D" w:rsidR="31EF0D2D">
              <w:rPr>
                <w:rFonts w:ascii="Calibri" w:hAnsi="Calibri" w:eastAsia="Calibri" w:cs="Calibri"/>
                <w:b w:val="1"/>
                <w:bCs w:val="1"/>
                <w:noProof w:val="0"/>
                <w:sz w:val="22"/>
                <w:szCs w:val="22"/>
                <w:lang w:val="en-GB"/>
              </w:rPr>
              <w:t>University of Loughborough</w:t>
            </w:r>
            <w:r w:rsidRPr="18007D8D" w:rsidR="03215DF9">
              <w:rPr>
                <w:rFonts w:ascii="Calibri" w:hAnsi="Calibri" w:eastAsia="Calibri" w:cs="Calibri"/>
                <w:b w:val="1"/>
                <w:bCs w:val="1"/>
                <w:noProof w:val="0"/>
                <w:sz w:val="22"/>
                <w:szCs w:val="22"/>
                <w:lang w:val="en-GB"/>
              </w:rPr>
              <w:t>:</w:t>
            </w:r>
            <w:r>
              <w:br/>
            </w:r>
          </w:p>
          <w:p w:rsidR="54A2A29C" w:rsidP="5D01ABA4" w:rsidRDefault="54A2A29C" w14:paraId="24ECE820" w14:textId="38CD0948">
            <w:pPr>
              <w:ind w:left="360" w:hanging="360"/>
              <w:jc w:val="left"/>
              <w:rPr>
                <w:rFonts w:ascii="Calibri" w:hAnsi="Calibri" w:eastAsia="Calibri" w:cs="Calibri"/>
                <w:b w:val="0"/>
                <w:bCs w:val="0"/>
                <w:noProof w:val="0"/>
                <w:sz w:val="22"/>
                <w:szCs w:val="22"/>
                <w:lang w:val="en-GB"/>
              </w:rPr>
            </w:pPr>
            <w:r w:rsidRPr="5D01ABA4" w:rsidR="1D8A7A6C">
              <w:rPr>
                <w:rFonts w:ascii="Calibri" w:hAnsi="Calibri" w:eastAsia="Calibri" w:cs="Calibri"/>
                <w:b w:val="0"/>
                <w:bCs w:val="0"/>
                <w:noProof w:val="0"/>
                <w:sz w:val="22"/>
                <w:szCs w:val="22"/>
                <w:lang w:val="en-GB"/>
              </w:rPr>
              <w:t>A really stimulating day at Loughborough with around 40 participant</w:t>
            </w:r>
          </w:p>
          <w:p w:rsidR="54A2A29C" w:rsidP="5D01ABA4" w:rsidRDefault="54A2A29C" w14:paraId="3338C3A8" w14:textId="34B39683">
            <w:pPr>
              <w:ind w:left="360" w:hanging="360"/>
              <w:jc w:val="left"/>
              <w:rPr>
                <w:rFonts w:ascii="Calibri" w:hAnsi="Calibri" w:eastAsia="Calibri" w:cs="Calibri"/>
                <w:b w:val="0"/>
                <w:bCs w:val="0"/>
                <w:noProof w:val="0"/>
                <w:sz w:val="22"/>
                <w:szCs w:val="22"/>
                <w:lang w:val="en-GB"/>
              </w:rPr>
            </w:pPr>
            <w:r w:rsidRPr="5D01ABA4" w:rsidR="1D8A7A6C">
              <w:rPr>
                <w:rFonts w:ascii="Calibri" w:hAnsi="Calibri" w:eastAsia="Calibri" w:cs="Calibri"/>
                <w:b w:val="0"/>
                <w:bCs w:val="0"/>
                <w:noProof w:val="0"/>
                <w:sz w:val="22"/>
                <w:szCs w:val="22"/>
                <w:lang w:val="en-GB"/>
              </w:rPr>
              <w:t xml:space="preserve">Universities. It started with </w:t>
            </w:r>
            <w:r w:rsidRPr="5D01ABA4" w:rsidR="1D8A7A6C">
              <w:rPr>
                <w:rFonts w:ascii="Calibri" w:hAnsi="Calibri" w:eastAsia="Calibri" w:cs="Calibri"/>
                <w:b w:val="0"/>
                <w:bCs w:val="0"/>
                <w:noProof w:val="0"/>
                <w:sz w:val="22"/>
                <w:szCs w:val="22"/>
                <w:lang w:val="en-GB"/>
              </w:rPr>
              <w:t xml:space="preserve">an opening session from the Chair talking </w:t>
            </w:r>
          </w:p>
          <w:p w:rsidR="54A2A29C" w:rsidP="5D01ABA4" w:rsidRDefault="54A2A29C" w14:paraId="6C7624E7" w14:textId="297656BA">
            <w:pPr>
              <w:ind w:left="360" w:hanging="360"/>
              <w:jc w:val="left"/>
              <w:rPr>
                <w:rFonts w:ascii="Calibri" w:hAnsi="Calibri" w:eastAsia="Calibri" w:cs="Calibri"/>
                <w:b w:val="0"/>
                <w:bCs w:val="0"/>
                <w:noProof w:val="0"/>
                <w:sz w:val="22"/>
                <w:szCs w:val="22"/>
                <w:lang w:val="en-GB"/>
              </w:rPr>
            </w:pPr>
            <w:r w:rsidRPr="5D01ABA4" w:rsidR="1D8A7A6C">
              <w:rPr>
                <w:rFonts w:ascii="Calibri" w:hAnsi="Calibri" w:eastAsia="Calibri" w:cs="Calibri"/>
                <w:b w:val="0"/>
                <w:bCs w:val="0"/>
                <w:noProof w:val="0"/>
                <w:sz w:val="22"/>
                <w:szCs w:val="22"/>
                <w:lang w:val="en-GB"/>
              </w:rPr>
              <w:t xml:space="preserve">about the changes to the constitution, the strategic away </w:t>
            </w:r>
            <w:r w:rsidRPr="5D01ABA4" w:rsidR="1D8A7A6C">
              <w:rPr>
                <w:rFonts w:ascii="Calibri" w:hAnsi="Calibri" w:eastAsia="Calibri" w:cs="Calibri"/>
                <w:b w:val="0"/>
                <w:bCs w:val="0"/>
                <w:noProof w:val="0"/>
                <w:sz w:val="22"/>
                <w:szCs w:val="22"/>
                <w:lang w:val="en-GB"/>
              </w:rPr>
              <w:t>day</w:t>
            </w:r>
            <w:r w:rsidRPr="5D01ABA4" w:rsidR="1D8A7A6C">
              <w:rPr>
                <w:rFonts w:ascii="Calibri" w:hAnsi="Calibri" w:eastAsia="Calibri" w:cs="Calibri"/>
                <w:b w:val="0"/>
                <w:bCs w:val="0"/>
                <w:noProof w:val="0"/>
                <w:sz w:val="22"/>
                <w:szCs w:val="22"/>
                <w:lang w:val="en-GB"/>
              </w:rPr>
              <w:t xml:space="preserve"> and the</w:t>
            </w:r>
          </w:p>
          <w:p w:rsidR="54A2A29C" w:rsidP="5D01ABA4" w:rsidRDefault="54A2A29C" w14:paraId="2597D1F2" w14:textId="18087536">
            <w:pPr>
              <w:ind w:left="360" w:hanging="360"/>
              <w:jc w:val="left"/>
              <w:rPr>
                <w:rFonts w:ascii="Calibri" w:hAnsi="Calibri" w:eastAsia="Calibri" w:cs="Calibri"/>
                <w:b w:val="0"/>
                <w:bCs w:val="0"/>
                <w:noProof w:val="0"/>
                <w:sz w:val="22"/>
                <w:szCs w:val="22"/>
                <w:lang w:val="en-GB"/>
              </w:rPr>
            </w:pPr>
            <w:r w:rsidRPr="5D01ABA4" w:rsidR="1D8A7A6C">
              <w:rPr>
                <w:rFonts w:ascii="Calibri" w:hAnsi="Calibri" w:eastAsia="Calibri" w:cs="Calibri"/>
                <w:b w:val="0"/>
                <w:bCs w:val="0"/>
                <w:noProof w:val="0"/>
                <w:sz w:val="22"/>
                <w:szCs w:val="22"/>
                <w:lang w:val="en-GB"/>
              </w:rPr>
              <w:t xml:space="preserve">context in which the practitioner group is held. </w:t>
            </w:r>
          </w:p>
          <w:p w:rsidR="54A2A29C" w:rsidP="5D01ABA4" w:rsidRDefault="54A2A29C" w14:paraId="716212CB" w14:textId="260FB2A7">
            <w:pPr>
              <w:pStyle w:val="Normal"/>
              <w:ind w:left="360" w:hanging="360"/>
              <w:jc w:val="left"/>
              <w:rPr>
                <w:rFonts w:ascii="Calibri" w:hAnsi="Calibri" w:eastAsia="Calibri" w:cs="Calibri"/>
                <w:b w:val="0"/>
                <w:bCs w:val="0"/>
                <w:noProof w:val="0"/>
                <w:sz w:val="22"/>
                <w:szCs w:val="22"/>
                <w:lang w:val="en-GB"/>
              </w:rPr>
            </w:pPr>
            <w:r w:rsidRPr="5D01ABA4" w:rsidR="1D8A7A6C">
              <w:rPr>
                <w:rFonts w:ascii="Calibri" w:hAnsi="Calibri" w:eastAsia="Calibri" w:cs="Calibri"/>
                <w:b w:val="0"/>
                <w:bCs w:val="0"/>
                <w:noProof w:val="0"/>
                <w:sz w:val="22"/>
                <w:szCs w:val="22"/>
                <w:lang w:val="en-GB"/>
              </w:rPr>
              <w:t xml:space="preserve"> </w:t>
            </w:r>
            <w:r w:rsidRPr="5D01ABA4" w:rsidR="1D8A7A6C">
              <w:rPr>
                <w:rFonts w:ascii="Calibri" w:hAnsi="Calibri" w:eastAsia="Calibri" w:cs="Calibri"/>
                <w:b w:val="0"/>
                <w:bCs w:val="0"/>
                <w:noProof w:val="0"/>
                <w:sz w:val="22"/>
                <w:szCs w:val="22"/>
                <w:lang w:val="en-GB"/>
              </w:rPr>
              <w:t xml:space="preserve"> </w:t>
            </w:r>
          </w:p>
          <w:p w:rsidR="54A2A29C" w:rsidP="5D01ABA4" w:rsidRDefault="54A2A29C" w14:paraId="77C71C2E" w14:textId="45E02846">
            <w:pPr>
              <w:pStyle w:val="Normal"/>
              <w:ind w:left="360" w:hanging="360"/>
              <w:jc w:val="left"/>
              <w:rPr>
                <w:rFonts w:ascii="Calibri" w:hAnsi="Calibri" w:eastAsia="Calibri" w:cs="Calibri"/>
                <w:b w:val="0"/>
                <w:bCs w:val="0"/>
                <w:noProof w:val="0"/>
                <w:sz w:val="22"/>
                <w:szCs w:val="22"/>
                <w:lang w:val="en-GB"/>
              </w:rPr>
            </w:pPr>
            <w:r w:rsidRPr="5D01ABA4" w:rsidR="1D8A7A6C">
              <w:rPr>
                <w:rFonts w:ascii="Calibri" w:hAnsi="Calibri" w:eastAsia="Calibri" w:cs="Calibri"/>
                <w:b w:val="0"/>
                <w:bCs w:val="0"/>
                <w:noProof w:val="0"/>
                <w:sz w:val="22"/>
                <w:szCs w:val="22"/>
                <w:lang w:val="en-GB"/>
              </w:rPr>
              <w:t xml:space="preserve">We followed with </w:t>
            </w:r>
            <w:r w:rsidRPr="5D01ABA4" w:rsidR="1D8A7A6C">
              <w:rPr>
                <w:rFonts w:ascii="Calibri" w:hAnsi="Calibri" w:eastAsia="Calibri" w:cs="Calibri"/>
                <w:b w:val="0"/>
                <w:bCs w:val="0"/>
                <w:noProof w:val="0"/>
                <w:sz w:val="22"/>
                <w:szCs w:val="22"/>
                <w:lang w:val="en-GB"/>
              </w:rPr>
              <w:t>a number of</w:t>
            </w:r>
            <w:r w:rsidRPr="5D01ABA4" w:rsidR="1D8A7A6C">
              <w:rPr>
                <w:rFonts w:ascii="Calibri" w:hAnsi="Calibri" w:eastAsia="Calibri" w:cs="Calibri"/>
                <w:b w:val="0"/>
                <w:bCs w:val="0"/>
                <w:noProof w:val="0"/>
                <w:sz w:val="22"/>
                <w:szCs w:val="22"/>
                <w:lang w:val="en-GB"/>
              </w:rPr>
              <w:t xml:space="preserve"> sessions, some of which were</w:t>
            </w:r>
          </w:p>
          <w:p w:rsidR="54A2A29C" w:rsidP="5D01ABA4" w:rsidRDefault="54A2A29C" w14:paraId="17FE4834" w14:textId="497AC2EC">
            <w:pPr>
              <w:pStyle w:val="Normal"/>
              <w:ind w:left="360" w:hanging="360"/>
              <w:jc w:val="left"/>
              <w:rPr>
                <w:rFonts w:ascii="Calibri" w:hAnsi="Calibri" w:eastAsia="Calibri" w:cs="Calibri"/>
                <w:b w:val="0"/>
                <w:bCs w:val="0"/>
                <w:noProof w:val="0"/>
                <w:sz w:val="22"/>
                <w:szCs w:val="22"/>
                <w:lang w:val="en-GB"/>
              </w:rPr>
            </w:pPr>
            <w:r w:rsidRPr="5D01ABA4" w:rsidR="1D8A7A6C">
              <w:rPr>
                <w:rFonts w:ascii="Calibri" w:hAnsi="Calibri" w:eastAsia="Calibri" w:cs="Calibri"/>
                <w:b w:val="0"/>
                <w:bCs w:val="0"/>
                <w:noProof w:val="0"/>
                <w:sz w:val="22"/>
                <w:szCs w:val="22"/>
                <w:lang w:val="en-GB"/>
              </w:rPr>
              <w:t xml:space="preserve">interactive including </w:t>
            </w:r>
            <w:r w:rsidRPr="5D01ABA4" w:rsidR="1D8A7A6C">
              <w:rPr>
                <w:rFonts w:ascii="Calibri" w:hAnsi="Calibri" w:eastAsia="Calibri" w:cs="Calibri"/>
                <w:b w:val="0"/>
                <w:bCs w:val="0"/>
                <w:noProof w:val="0"/>
                <w:sz w:val="22"/>
                <w:szCs w:val="22"/>
                <w:lang w:val="en-GB"/>
              </w:rPr>
              <w:t>mentimeter</w:t>
            </w:r>
            <w:r w:rsidRPr="5D01ABA4" w:rsidR="1D8A7A6C">
              <w:rPr>
                <w:rFonts w:ascii="Calibri" w:hAnsi="Calibri" w:eastAsia="Calibri" w:cs="Calibri"/>
                <w:b w:val="0"/>
                <w:bCs w:val="0"/>
                <w:noProof w:val="0"/>
                <w:sz w:val="22"/>
                <w:szCs w:val="22"/>
                <w:lang w:val="en-GB"/>
              </w:rPr>
              <w:t xml:space="preserve"> polls giving data to the </w:t>
            </w:r>
            <w:r w:rsidRPr="5D01ABA4" w:rsidR="1D8A7A6C">
              <w:rPr>
                <w:rFonts w:ascii="Calibri" w:hAnsi="Calibri" w:eastAsia="Calibri" w:cs="Calibri"/>
                <w:b w:val="0"/>
                <w:bCs w:val="0"/>
                <w:noProof w:val="0"/>
                <w:sz w:val="22"/>
                <w:szCs w:val="22"/>
                <w:lang w:val="en-GB"/>
              </w:rPr>
              <w:t>sector as a</w:t>
            </w:r>
          </w:p>
          <w:p w:rsidR="54A2A29C" w:rsidP="5D01ABA4" w:rsidRDefault="54A2A29C" w14:paraId="0F5944CD" w14:textId="455153CB">
            <w:pPr>
              <w:pStyle w:val="Normal"/>
              <w:ind w:left="360" w:hanging="360"/>
              <w:jc w:val="left"/>
              <w:rPr>
                <w:rFonts w:ascii="Calibri" w:hAnsi="Calibri" w:eastAsia="Calibri" w:cs="Calibri"/>
                <w:b w:val="0"/>
                <w:bCs w:val="0"/>
                <w:noProof w:val="0"/>
                <w:sz w:val="22"/>
                <w:szCs w:val="22"/>
                <w:lang w:val="en-GB"/>
              </w:rPr>
            </w:pPr>
            <w:r w:rsidRPr="5D01ABA4" w:rsidR="1D8A7A6C">
              <w:rPr>
                <w:rFonts w:ascii="Calibri" w:hAnsi="Calibri" w:eastAsia="Calibri" w:cs="Calibri"/>
                <w:b w:val="0"/>
                <w:bCs w:val="0"/>
                <w:noProof w:val="0"/>
                <w:sz w:val="22"/>
                <w:szCs w:val="22"/>
                <w:lang w:val="en-GB"/>
              </w:rPr>
              <w:t xml:space="preserve">whole. </w:t>
            </w:r>
            <w:r w:rsidRPr="5D01ABA4" w:rsidR="1D8A7A6C">
              <w:rPr>
                <w:rFonts w:ascii="Calibri" w:hAnsi="Calibri" w:eastAsia="Calibri" w:cs="Calibri"/>
                <w:b w:val="0"/>
                <w:bCs w:val="0"/>
                <w:noProof w:val="0"/>
                <w:sz w:val="22"/>
                <w:szCs w:val="22"/>
                <w:lang w:val="en-GB"/>
              </w:rPr>
              <w:t xml:space="preserve"> </w:t>
            </w:r>
          </w:p>
          <w:p w:rsidR="54A2A29C" w:rsidP="5D01ABA4" w:rsidRDefault="54A2A29C" w14:paraId="2EBE188B" w14:textId="64EA9ABE">
            <w:pPr>
              <w:pStyle w:val="Normal"/>
              <w:ind w:left="360" w:hanging="360"/>
              <w:jc w:val="center"/>
            </w:pPr>
            <w:r w:rsidRPr="5D01ABA4" w:rsidR="1D8A7A6C">
              <w:rPr>
                <w:rFonts w:ascii="Calibri" w:hAnsi="Calibri" w:eastAsia="Calibri" w:cs="Calibri"/>
                <w:b w:val="1"/>
                <w:bCs w:val="1"/>
                <w:noProof w:val="0"/>
                <w:sz w:val="22"/>
                <w:szCs w:val="22"/>
                <w:lang w:val="en-GB"/>
              </w:rPr>
              <w:t xml:space="preserve">  </w:t>
            </w:r>
          </w:p>
          <w:p w:rsidR="54A2A29C" w:rsidP="5D01ABA4" w:rsidRDefault="54A2A29C" w14:paraId="2403BEF2" w14:textId="35F9A01E">
            <w:pPr>
              <w:pStyle w:val="ListParagraph"/>
              <w:numPr>
                <w:ilvl w:val="0"/>
                <w:numId w:val="2"/>
              </w:numPr>
              <w:jc w:val="left"/>
              <w:rPr>
                <w:rFonts w:ascii="Trebuchet MS" w:hAnsi="Trebuchet MS" w:eastAsia="Trebuchet MS" w:cs="Trebuchet MS"/>
                <w:b w:val="1"/>
                <w:bCs w:val="1"/>
                <w:noProof w:val="0"/>
                <w:sz w:val="20"/>
                <w:szCs w:val="20"/>
                <w:lang w:val="en-GB"/>
              </w:rPr>
            </w:pPr>
            <w:r w:rsidRPr="5D01ABA4" w:rsidR="31EF0D2D">
              <w:rPr>
                <w:rFonts w:ascii="Trebuchet MS" w:hAnsi="Trebuchet MS" w:eastAsia="Trebuchet MS" w:cs="Trebuchet MS"/>
                <w:b w:val="1"/>
                <w:bCs w:val="1"/>
                <w:noProof w:val="0"/>
                <w:sz w:val="20"/>
                <w:szCs w:val="20"/>
                <w:lang w:val="en-GB"/>
              </w:rPr>
              <w:t>Adventures in Time and Space: Timetabling at Creative Arts Universities</w:t>
            </w:r>
          </w:p>
          <w:p w:rsidR="54A2A29C" w:rsidP="5D01ABA4" w:rsidRDefault="54A2A29C" w14:paraId="299EDB7B" w14:textId="140EF4C5">
            <w:pPr>
              <w:jc w:val="left"/>
            </w:pPr>
            <w:r w:rsidRPr="5D01ABA4" w:rsidR="5C2F5F9D">
              <w:rPr>
                <w:rFonts w:ascii="Calibri" w:hAnsi="Calibri" w:eastAsia="Calibri" w:cs="Calibri"/>
                <w:i w:val="1"/>
                <w:iCs w:val="1"/>
                <w:noProof w:val="0"/>
                <w:sz w:val="22"/>
                <w:szCs w:val="22"/>
                <w:lang w:val="en-GB"/>
              </w:rPr>
              <w:t xml:space="preserve">              </w:t>
            </w:r>
            <w:r w:rsidRPr="5D01ABA4" w:rsidR="31EF0D2D">
              <w:rPr>
                <w:rFonts w:ascii="Calibri" w:hAnsi="Calibri" w:eastAsia="Calibri" w:cs="Calibri"/>
                <w:i w:val="1"/>
                <w:iCs w:val="1"/>
                <w:noProof w:val="0"/>
                <w:sz w:val="22"/>
                <w:szCs w:val="22"/>
                <w:lang w:val="en-GB"/>
              </w:rPr>
              <w:t>Leeds Arts University</w:t>
            </w:r>
            <w:r w:rsidRPr="5D01ABA4" w:rsidR="31EF0D2D">
              <w:rPr>
                <w:rFonts w:ascii="Calibri" w:hAnsi="Calibri" w:eastAsia="Calibri" w:cs="Calibri"/>
                <w:b w:val="1"/>
                <w:bCs w:val="1"/>
                <w:noProof w:val="0"/>
                <w:sz w:val="22"/>
                <w:szCs w:val="22"/>
                <w:lang w:val="en-GB"/>
              </w:rPr>
              <w:t xml:space="preserve"> </w:t>
            </w:r>
          </w:p>
          <w:p w:rsidR="54A2A29C" w:rsidP="5D01ABA4" w:rsidRDefault="54A2A29C" w14:paraId="3C203A8D" w14:textId="5393BA7B">
            <w:pPr>
              <w:pStyle w:val="ListParagraph"/>
              <w:numPr>
                <w:ilvl w:val="0"/>
                <w:numId w:val="2"/>
              </w:numPr>
              <w:jc w:val="left"/>
              <w:rPr>
                <w:rFonts w:ascii="Calibri" w:hAnsi="Calibri" w:eastAsia="Calibri" w:cs="Calibri"/>
                <w:b w:val="1"/>
                <w:bCs w:val="1"/>
                <w:noProof w:val="0"/>
                <w:sz w:val="22"/>
                <w:szCs w:val="22"/>
                <w:lang w:val="en-GB"/>
              </w:rPr>
            </w:pPr>
            <w:r w:rsidRPr="5D01ABA4" w:rsidR="31EF0D2D">
              <w:rPr>
                <w:rFonts w:ascii="Calibri" w:hAnsi="Calibri" w:eastAsia="Calibri" w:cs="Calibri"/>
                <w:b w:val="1"/>
                <w:bCs w:val="1"/>
                <w:noProof w:val="0"/>
                <w:sz w:val="22"/>
                <w:szCs w:val="22"/>
                <w:lang w:val="en-GB"/>
              </w:rPr>
              <w:t>Curriculum Redefined – simplifying programme structures to deliver clash-free</w:t>
            </w:r>
          </w:p>
          <w:p w:rsidR="54A2A29C" w:rsidP="5D01ABA4" w:rsidRDefault="54A2A29C" w14:paraId="0D153907" w14:textId="3C53EC42">
            <w:pPr>
              <w:jc w:val="left"/>
              <w:rPr>
                <w:rFonts w:ascii="Calibri" w:hAnsi="Calibri" w:eastAsia="Calibri" w:cs="Calibri"/>
                <w:i w:val="1"/>
                <w:iCs w:val="1"/>
                <w:noProof w:val="0"/>
                <w:sz w:val="22"/>
                <w:szCs w:val="22"/>
                <w:lang w:val="en-GB"/>
              </w:rPr>
            </w:pPr>
            <w:r w:rsidRPr="5D01ABA4" w:rsidR="5521EBC2">
              <w:rPr>
                <w:rFonts w:ascii="Calibri" w:hAnsi="Calibri" w:eastAsia="Calibri" w:cs="Calibri"/>
                <w:i w:val="1"/>
                <w:iCs w:val="1"/>
                <w:noProof w:val="0"/>
                <w:sz w:val="22"/>
                <w:szCs w:val="22"/>
                <w:lang w:val="en-GB"/>
              </w:rPr>
              <w:t xml:space="preserve">              </w:t>
            </w:r>
            <w:r w:rsidRPr="5D01ABA4" w:rsidR="31EF0D2D">
              <w:rPr>
                <w:rFonts w:ascii="Calibri" w:hAnsi="Calibri" w:eastAsia="Calibri" w:cs="Calibri"/>
                <w:i w:val="1"/>
                <w:iCs w:val="1"/>
                <w:noProof w:val="0"/>
                <w:sz w:val="22"/>
                <w:szCs w:val="22"/>
                <w:lang w:val="en-GB"/>
              </w:rPr>
              <w:t>University of Leeds</w:t>
            </w:r>
          </w:p>
          <w:p w:rsidR="54A2A29C" w:rsidP="5D01ABA4" w:rsidRDefault="54A2A29C" w14:paraId="27C72893" w14:textId="79A6CA38">
            <w:pPr>
              <w:pStyle w:val="ListParagraph"/>
              <w:numPr>
                <w:ilvl w:val="0"/>
                <w:numId w:val="2"/>
              </w:numPr>
              <w:jc w:val="left"/>
              <w:rPr>
                <w:rFonts w:ascii="Calibri" w:hAnsi="Calibri" w:eastAsia="Calibri" w:cs="Calibri"/>
                <w:b w:val="1"/>
                <w:bCs w:val="1"/>
                <w:noProof w:val="0"/>
                <w:sz w:val="22"/>
                <w:szCs w:val="22"/>
                <w:lang w:val="en-GB"/>
              </w:rPr>
            </w:pPr>
            <w:r w:rsidRPr="5D01ABA4" w:rsidR="31EF0D2D">
              <w:rPr>
                <w:rFonts w:ascii="Calibri" w:hAnsi="Calibri" w:eastAsia="Calibri" w:cs="Calibri"/>
                <w:b w:val="1"/>
                <w:bCs w:val="1"/>
                <w:noProof w:val="0"/>
                <w:sz w:val="22"/>
                <w:szCs w:val="22"/>
                <w:lang w:val="en-GB"/>
              </w:rPr>
              <w:t>Brave New World? Redesigning Timetabling Policy Post-Pandemic</w:t>
            </w:r>
          </w:p>
          <w:p w:rsidR="54A2A29C" w:rsidP="5D01ABA4" w:rsidRDefault="54A2A29C" w14:paraId="537CB6B0" w14:textId="07B3C22A">
            <w:pPr>
              <w:jc w:val="left"/>
              <w:rPr>
                <w:rFonts w:ascii="Calibri" w:hAnsi="Calibri" w:eastAsia="Calibri" w:cs="Calibri"/>
                <w:i w:val="1"/>
                <w:iCs w:val="1"/>
                <w:noProof w:val="0"/>
                <w:sz w:val="22"/>
                <w:szCs w:val="22"/>
                <w:lang w:val="en-GB"/>
              </w:rPr>
            </w:pPr>
            <w:r w:rsidRPr="5D01ABA4" w:rsidR="10A1AF24">
              <w:rPr>
                <w:rFonts w:ascii="Calibri" w:hAnsi="Calibri" w:eastAsia="Calibri" w:cs="Calibri"/>
                <w:i w:val="1"/>
                <w:iCs w:val="1"/>
                <w:noProof w:val="0"/>
                <w:sz w:val="22"/>
                <w:szCs w:val="22"/>
                <w:lang w:val="en-GB"/>
              </w:rPr>
              <w:t xml:space="preserve">              </w:t>
            </w:r>
            <w:r w:rsidRPr="5D01ABA4" w:rsidR="31EF0D2D">
              <w:rPr>
                <w:rFonts w:ascii="Calibri" w:hAnsi="Calibri" w:eastAsia="Calibri" w:cs="Calibri"/>
                <w:i w:val="1"/>
                <w:iCs w:val="1"/>
                <w:noProof w:val="0"/>
                <w:sz w:val="22"/>
                <w:szCs w:val="22"/>
                <w:lang w:val="en-GB"/>
              </w:rPr>
              <w:t>Loughborough University</w:t>
            </w:r>
          </w:p>
          <w:p w:rsidR="54A2A29C" w:rsidP="5D01ABA4" w:rsidRDefault="54A2A29C" w14:paraId="2A02019E" w14:textId="73C349C8">
            <w:pPr>
              <w:pStyle w:val="ListParagraph"/>
              <w:numPr>
                <w:ilvl w:val="0"/>
                <w:numId w:val="2"/>
              </w:numPr>
              <w:jc w:val="left"/>
              <w:rPr>
                <w:rFonts w:ascii="Calibri" w:hAnsi="Calibri" w:eastAsia="Calibri" w:cs="Calibri"/>
                <w:b w:val="1"/>
                <w:bCs w:val="1"/>
                <w:noProof w:val="0"/>
                <w:sz w:val="22"/>
                <w:szCs w:val="22"/>
                <w:lang w:val="en-GB"/>
              </w:rPr>
            </w:pPr>
            <w:r w:rsidRPr="5D01ABA4" w:rsidR="31EF0D2D">
              <w:rPr>
                <w:rFonts w:ascii="Calibri" w:hAnsi="Calibri" w:eastAsia="Calibri" w:cs="Calibri"/>
                <w:b w:val="1"/>
                <w:bCs w:val="1"/>
                <w:noProof w:val="0"/>
                <w:sz w:val="22"/>
                <w:szCs w:val="22"/>
                <w:lang w:val="en-GB"/>
              </w:rPr>
              <w:t>Timetabling Timelines</w:t>
            </w:r>
          </w:p>
          <w:p w:rsidR="54A2A29C" w:rsidP="5D01ABA4" w:rsidRDefault="54A2A29C" w14:paraId="62E0B6B6" w14:textId="558AA206">
            <w:pPr>
              <w:jc w:val="left"/>
              <w:rPr>
                <w:rFonts w:ascii="Calibri" w:hAnsi="Calibri" w:eastAsia="Calibri" w:cs="Calibri"/>
                <w:i w:val="1"/>
                <w:iCs w:val="1"/>
                <w:noProof w:val="0"/>
                <w:sz w:val="22"/>
                <w:szCs w:val="22"/>
                <w:lang w:val="en-GB"/>
              </w:rPr>
            </w:pPr>
            <w:r w:rsidRPr="5D01ABA4" w:rsidR="04C1686C">
              <w:rPr>
                <w:rFonts w:ascii="Calibri" w:hAnsi="Calibri" w:eastAsia="Calibri" w:cs="Calibri"/>
                <w:i w:val="1"/>
                <w:iCs w:val="1"/>
                <w:noProof w:val="0"/>
                <w:sz w:val="22"/>
                <w:szCs w:val="22"/>
                <w:lang w:val="en-GB"/>
              </w:rPr>
              <w:t xml:space="preserve">              </w:t>
            </w:r>
            <w:r w:rsidRPr="5D01ABA4" w:rsidR="31EF0D2D">
              <w:rPr>
                <w:rFonts w:ascii="Calibri" w:hAnsi="Calibri" w:eastAsia="Calibri" w:cs="Calibri"/>
                <w:i w:val="1"/>
                <w:iCs w:val="1"/>
                <w:noProof w:val="0"/>
                <w:sz w:val="22"/>
                <w:szCs w:val="22"/>
                <w:lang w:val="en-GB"/>
              </w:rPr>
              <w:t>University of Hull</w:t>
            </w:r>
          </w:p>
          <w:p w:rsidR="54A2A29C" w:rsidP="5D01ABA4" w:rsidRDefault="54A2A29C" w14:paraId="2E5FF8EB" w14:textId="732DBA36">
            <w:pPr>
              <w:pStyle w:val="ListParagraph"/>
              <w:numPr>
                <w:ilvl w:val="0"/>
                <w:numId w:val="2"/>
              </w:numPr>
              <w:jc w:val="left"/>
              <w:rPr>
                <w:rFonts w:ascii="Calibri" w:hAnsi="Calibri" w:eastAsia="Calibri" w:cs="Calibri"/>
                <w:b w:val="1"/>
                <w:bCs w:val="1"/>
                <w:noProof w:val="0"/>
                <w:sz w:val="22"/>
                <w:szCs w:val="22"/>
                <w:lang w:val="en-GB"/>
              </w:rPr>
            </w:pPr>
            <w:r w:rsidRPr="5D01ABA4" w:rsidR="31EF0D2D">
              <w:rPr>
                <w:rFonts w:ascii="Calibri" w:hAnsi="Calibri" w:eastAsia="Calibri" w:cs="Calibri"/>
                <w:b w:val="1"/>
                <w:bCs w:val="1"/>
                <w:noProof w:val="0"/>
                <w:sz w:val="22"/>
                <w:szCs w:val="22"/>
                <w:lang w:val="en-GB"/>
              </w:rPr>
              <w:t>Loughborough Campus Tour</w:t>
            </w:r>
            <w:r>
              <w:br/>
            </w:r>
          </w:p>
          <w:p w:rsidR="54A2A29C" w:rsidP="5D01ABA4" w:rsidRDefault="54A2A29C" w14:paraId="5D0CD0A3" w14:textId="65FB9AE6">
            <w:pPr>
              <w:spacing w:line="254" w:lineRule="auto"/>
              <w:jc w:val="left"/>
            </w:pPr>
            <w:r w:rsidRPr="5D01ABA4" w:rsidR="31EF0D2D">
              <w:rPr>
                <w:rFonts w:ascii="Calibri" w:hAnsi="Calibri" w:eastAsia="Calibri" w:cs="Calibri"/>
                <w:noProof w:val="0"/>
                <w:sz w:val="22"/>
                <w:szCs w:val="22"/>
                <w:lang w:val="en-GB"/>
              </w:rPr>
              <w:t>We also used the run up to breaks to include networking with some icebreaker questions which resulted in understanding which participants timetabled on a similar scale, were going through the same change or political issue. We then also reground on new participants or regional networks.</w:t>
            </w:r>
          </w:p>
          <w:p w:rsidR="54A2A29C" w:rsidP="5D01ABA4" w:rsidRDefault="54A2A29C" w14:paraId="69B97469" w14:textId="694A2F86">
            <w:pPr>
              <w:pStyle w:val="Normal"/>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p>
        </w:tc>
      </w:tr>
    </w:tbl>
    <w:p w:rsidR="5D01ABA4" w:rsidRDefault="5D01ABA4" w14:paraId="321D089A" w14:textId="6B1D8C53"/>
    <w:p w:rsidR="54A2A29C" w:rsidRDefault="54A2A29C" w14:paraId="7872638A" w14:textId="013424EF"/>
    <w:p w:rsidR="00635FC0" w:rsidP="00635FC0" w:rsidRDefault="00635FC0" w14:paraId="1BC30FAE" w14:textId="253D34E5">
      <w:pPr>
        <w:jc w:val="center"/>
        <w:rPr>
          <w:b/>
          <w:bCs/>
          <w:sz w:val="28"/>
          <w:szCs w:val="28"/>
        </w:rPr>
      </w:pPr>
    </w:p>
    <w:p w:rsidR="00635FC0" w:rsidP="00635FC0" w:rsidRDefault="00635FC0" w14:paraId="3822EEE3" w14:textId="2F334F0F">
      <w:pPr>
        <w:jc w:val="center"/>
        <w:rPr>
          <w:b/>
          <w:bCs/>
          <w:sz w:val="28"/>
          <w:szCs w:val="28"/>
        </w:rPr>
      </w:pPr>
    </w:p>
    <w:p w:rsidRPr="00635FC0" w:rsidR="00635FC0" w:rsidP="00635FC0" w:rsidRDefault="00635FC0" w14:paraId="5E6CCF0F" w14:textId="77777777">
      <w:pPr>
        <w:jc w:val="center"/>
        <w:rPr>
          <w:b/>
          <w:bCs/>
          <w:sz w:val="28"/>
          <w:szCs w:val="28"/>
        </w:rPr>
      </w:pPr>
    </w:p>
    <w:sectPr w:rsidRPr="00635FC0" w:rsidR="00635FC0">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6D31" w:rsidP="00635FC0" w:rsidRDefault="00666D31" w14:paraId="21E4080A" w14:textId="77777777">
      <w:pPr>
        <w:spacing w:after="0" w:line="240" w:lineRule="auto"/>
      </w:pPr>
      <w:r>
        <w:separator/>
      </w:r>
    </w:p>
  </w:endnote>
  <w:endnote w:type="continuationSeparator" w:id="0">
    <w:p w:rsidR="00666D31" w:rsidP="00635FC0" w:rsidRDefault="00666D31" w14:paraId="7B27D7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6D31" w:rsidP="00635FC0" w:rsidRDefault="00666D31" w14:paraId="4FDD8348" w14:textId="77777777">
      <w:pPr>
        <w:spacing w:after="0" w:line="240" w:lineRule="auto"/>
      </w:pPr>
      <w:r>
        <w:separator/>
      </w:r>
    </w:p>
  </w:footnote>
  <w:footnote w:type="continuationSeparator" w:id="0">
    <w:p w:rsidR="00666D31" w:rsidP="00635FC0" w:rsidRDefault="00666D31" w14:paraId="70985A9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35FC0" w:rsidRDefault="00635FC0" w14:paraId="73071543" w14:textId="4B4FD625">
    <w:pPr>
      <w:pStyle w:val="Header"/>
    </w:pPr>
    <w:r>
      <w:rPr>
        <w:b/>
        <w:bCs/>
        <w:noProof/>
      </w:rPr>
      <w:drawing>
        <wp:anchor distT="0" distB="0" distL="114300" distR="114300" simplePos="0" relativeHeight="251658240" behindDoc="1" locked="0" layoutInCell="1" allowOverlap="1" wp14:anchorId="50D72959" wp14:editId="464CD94C">
          <wp:simplePos x="0" y="0"/>
          <wp:positionH relativeFrom="column">
            <wp:posOffset>4749800</wp:posOffset>
          </wp:positionH>
          <wp:positionV relativeFrom="paragraph">
            <wp:posOffset>-341630</wp:posOffset>
          </wp:positionV>
          <wp:extent cx="1625600" cy="698500"/>
          <wp:effectExtent l="0" t="0" r="0" b="6350"/>
          <wp:wrapTight wrapText="bothSides">
            <wp:wrapPolygon edited="0">
              <wp:start x="0" y="0"/>
              <wp:lineTo x="0" y="21207"/>
              <wp:lineTo x="9619" y="21207"/>
              <wp:lineTo x="9619" y="18851"/>
              <wp:lineTo x="21263" y="15905"/>
              <wp:lineTo x="21263" y="4713"/>
              <wp:lineTo x="9619" y="0"/>
              <wp:lineTo x="0" y="0"/>
            </wp:wrapPolygon>
          </wp:wrapTight>
          <wp:docPr id="5" name="Picture 5"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698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http://schemas.openxmlformats.org/wordprocessingml/2006/main">
  <w:abstractNum xmlns:w="http://schemas.openxmlformats.org/wordprocessingml/2006/main" w:abstractNumId="7">
    <w:nsid w:val="13c857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de13244"/>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a17e4b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4fe65c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dfd8dc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ee55c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da6c9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C0"/>
    <w:rsid w:val="00072A63"/>
    <w:rsid w:val="001F48CE"/>
    <w:rsid w:val="00330B33"/>
    <w:rsid w:val="00635FC0"/>
    <w:rsid w:val="00666D31"/>
    <w:rsid w:val="00741235"/>
    <w:rsid w:val="00D55BDA"/>
    <w:rsid w:val="0215B5D4"/>
    <w:rsid w:val="03215DF9"/>
    <w:rsid w:val="03B18635"/>
    <w:rsid w:val="04C1686C"/>
    <w:rsid w:val="09C7CFBC"/>
    <w:rsid w:val="0A013C41"/>
    <w:rsid w:val="0ABBF8EB"/>
    <w:rsid w:val="0C17F723"/>
    <w:rsid w:val="0D5DC550"/>
    <w:rsid w:val="10A1AF24"/>
    <w:rsid w:val="11451784"/>
    <w:rsid w:val="12208E3C"/>
    <w:rsid w:val="147CB846"/>
    <w:rsid w:val="18007D8D"/>
    <w:rsid w:val="18EEFD15"/>
    <w:rsid w:val="1A6E3BED"/>
    <w:rsid w:val="1D51A4DC"/>
    <w:rsid w:val="1D8A7A6C"/>
    <w:rsid w:val="20B6A911"/>
    <w:rsid w:val="25BB8D5D"/>
    <w:rsid w:val="26C03D5A"/>
    <w:rsid w:val="2778D2F8"/>
    <w:rsid w:val="27D26A58"/>
    <w:rsid w:val="27F565F6"/>
    <w:rsid w:val="2CFACAAE"/>
    <w:rsid w:val="2E969B0F"/>
    <w:rsid w:val="2F7536D1"/>
    <w:rsid w:val="31B6379D"/>
    <w:rsid w:val="31CDD72A"/>
    <w:rsid w:val="31EF0D2D"/>
    <w:rsid w:val="337CD699"/>
    <w:rsid w:val="33E3B433"/>
    <w:rsid w:val="3518A6FA"/>
    <w:rsid w:val="36B4775B"/>
    <w:rsid w:val="37AFE894"/>
    <w:rsid w:val="37F21424"/>
    <w:rsid w:val="37F87A8C"/>
    <w:rsid w:val="3E19E851"/>
    <w:rsid w:val="3E82B8CA"/>
    <w:rsid w:val="43D4F79A"/>
    <w:rsid w:val="4523EDE3"/>
    <w:rsid w:val="46539FEE"/>
    <w:rsid w:val="46BFBE44"/>
    <w:rsid w:val="4941061C"/>
    <w:rsid w:val="4B5920BA"/>
    <w:rsid w:val="4C626B0E"/>
    <w:rsid w:val="4D31633E"/>
    <w:rsid w:val="4D87FEAD"/>
    <w:rsid w:val="4F152258"/>
    <w:rsid w:val="5010F334"/>
    <w:rsid w:val="5244CF50"/>
    <w:rsid w:val="53F0E73D"/>
    <w:rsid w:val="54A2A29C"/>
    <w:rsid w:val="5521EBC2"/>
    <w:rsid w:val="57F1D824"/>
    <w:rsid w:val="5931571F"/>
    <w:rsid w:val="598DA885"/>
    <w:rsid w:val="59970570"/>
    <w:rsid w:val="5B2978E6"/>
    <w:rsid w:val="5C15D637"/>
    <w:rsid w:val="5C2F5F9D"/>
    <w:rsid w:val="5C9F799A"/>
    <w:rsid w:val="5D01ABA4"/>
    <w:rsid w:val="5DD4A236"/>
    <w:rsid w:val="5DE24F1D"/>
    <w:rsid w:val="5F2FA82F"/>
    <w:rsid w:val="6022A2FB"/>
    <w:rsid w:val="63580E4D"/>
    <w:rsid w:val="63D8A6C2"/>
    <w:rsid w:val="64122228"/>
    <w:rsid w:val="6768A4BE"/>
    <w:rsid w:val="681F9F53"/>
    <w:rsid w:val="6A7B29C8"/>
    <w:rsid w:val="70245844"/>
    <w:rsid w:val="72A79F77"/>
    <w:rsid w:val="748735BC"/>
    <w:rsid w:val="75154108"/>
    <w:rsid w:val="7567E909"/>
    <w:rsid w:val="76AD76DD"/>
    <w:rsid w:val="77371A40"/>
    <w:rsid w:val="7C8FE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FE58"/>
  <w15:chartTrackingRefBased/>
  <w15:docId w15:val="{0234DEA1-36AB-455D-BAC5-9F985FD283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35FC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35FC0"/>
  </w:style>
  <w:style w:type="paragraph" w:styleId="Footer">
    <w:name w:val="footer"/>
    <w:basedOn w:val="Normal"/>
    <w:link w:val="FooterChar"/>
    <w:uiPriority w:val="99"/>
    <w:unhideWhenUsed/>
    <w:rsid w:val="00635FC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35FC0"/>
  </w:style>
  <w:style w:type="table" w:styleId="TableGrid">
    <w:name w:val="Table Grid"/>
    <w:basedOn w:val="TableNormal"/>
    <w:uiPriority w:val="39"/>
    <w:rsid w:val="00635F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D55BDA"/>
    <w:rPr>
      <w:color w:val="0000FF"/>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onkhe.com/blogs/the-journey-to-a-million-applicants-to-he-starts-today/" TargetMode="Externa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numbering" Target="numbering.xml" Id="R3fb6887ac3bb4e26" /><Relationship Type="http://schemas.openxmlformats.org/officeDocument/2006/relationships/hyperlink" Target="mailto:ARC-PGPG@JISCMAIL.AC.UK" TargetMode="External" Id="R49c7580db5c647f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D986C3D1FAA47A3F5AD4FBFA89A49" ma:contentTypeVersion="18" ma:contentTypeDescription="Create a new document." ma:contentTypeScope="" ma:versionID="b88fa740bba92d1d98006334aede4777">
  <xsd:schema xmlns:xsd="http://www.w3.org/2001/XMLSchema" xmlns:xs="http://www.w3.org/2001/XMLSchema" xmlns:p="http://schemas.microsoft.com/office/2006/metadata/properties" xmlns:ns2="8ab94361-c2d7-4816-a1ed-58ad3f25b6a4" xmlns:ns3="440f454b-a57c-4429-8fe6-db0ad54cc127" targetNamespace="http://schemas.microsoft.com/office/2006/metadata/properties" ma:root="true" ma:fieldsID="f3d4cc62f5e212a887646b855e876324" ns2:_="" ns3:_="">
    <xsd:import namespace="8ab94361-c2d7-4816-a1ed-58ad3f25b6a4"/>
    <xsd:import namespace="440f454b-a57c-4429-8fe6-db0ad54cc127"/>
    <xsd:element name="properties">
      <xsd:complexType>
        <xsd:sequence>
          <xsd:element name="documentManagement">
            <xsd:complexType>
              <xsd:all>
                <xsd:element ref="ns2:MediaServiceMetadata" minOccurs="0"/>
                <xsd:element ref="ns2:MediaServiceFastMetadata" minOccurs="0"/>
                <xsd:element ref="ns2:Testing"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4361-c2d7-4816-a1ed-58ad3f25b6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Testing" ma:index="10" nillable="true" ma:displayName="Testing" ma:internalName="Testing">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1e288f-5fbb-4de5-824b-c61c796cc8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0f454b-a57c-4429-8fe6-db0ad54cc1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1307623-6dbd-41f4-b525-5c9889f4beb5}" ma:internalName="TaxCatchAll" ma:showField="CatchAllData" ma:web="440f454b-a57c-4429-8fe6-db0ad54cc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ing xmlns="8ab94361-c2d7-4816-a1ed-58ad3f25b6a4" xsi:nil="true"/>
    <TaxCatchAll xmlns="440f454b-a57c-4429-8fe6-db0ad54cc127" xsi:nil="true"/>
    <lcf76f155ced4ddcb4097134ff3c332f xmlns="8ab94361-c2d7-4816-a1ed-58ad3f25b6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26C92-75CC-47DB-986C-32865FE85398}"/>
</file>

<file path=customXml/itemProps2.xml><?xml version="1.0" encoding="utf-8"?>
<ds:datastoreItem xmlns:ds="http://schemas.openxmlformats.org/officeDocument/2006/customXml" ds:itemID="{4AB72896-C900-4290-845A-53FD33014E0E}"/>
</file>

<file path=customXml/itemProps3.xml><?xml version="1.0" encoding="utf-8"?>
<ds:datastoreItem xmlns:ds="http://schemas.openxmlformats.org/officeDocument/2006/customXml" ds:itemID="{F356BFF2-D914-44E7-8666-94F058B679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Collis</dc:creator>
  <keywords/>
  <dc:description/>
  <lastModifiedBy>Leah Collis</lastModifiedBy>
  <revision>6</revision>
  <dcterms:created xsi:type="dcterms:W3CDTF">2023-03-30T10:50:00.0000000Z</dcterms:created>
  <dcterms:modified xsi:type="dcterms:W3CDTF">2023-04-19T13:01:15.1684251Z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0x010100F3FD986C3D1FAA47A3F5AD4FBFA89A49</vt:lpwstr>
  </property>
  <property fmtid="{D5CDD505-2E9C-101B-9397-08002B2CF9AE}" pid="3" name="MediaServiceImageTags">
    <vt:lpwstr/>
  </property>
</Properties>
</file>